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B1A0E" w:rsidRDefault="00867128">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Analýza vplyvov na podnikateľské prostredie</w:t>
      </w:r>
    </w:p>
    <w:p w14:paraId="00000002" w14:textId="77777777" w:rsidR="00EB1A0E" w:rsidRDefault="00EB1A0E">
      <w:pPr>
        <w:jc w:val="both"/>
        <w:rPr>
          <w:rFonts w:ascii="Times New Roman" w:eastAsia="Times New Roman" w:hAnsi="Times New Roman" w:cs="Times New Roman"/>
          <w:b/>
          <w:sz w:val="24"/>
          <w:szCs w:val="24"/>
        </w:rPr>
      </w:pPr>
    </w:p>
    <w:p w14:paraId="00000003"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Názov materiálu: </w:t>
      </w:r>
      <w:r>
        <w:rPr>
          <w:rFonts w:ascii="Times New Roman" w:eastAsia="Times New Roman" w:hAnsi="Times New Roman" w:cs="Times New Roman"/>
          <w:sz w:val="24"/>
          <w:szCs w:val="24"/>
        </w:rPr>
        <w:t>Návrh zákona, ktorým sa mení a dopĺňa zákon č. 355/2007 Z. z. o ochrane, podpore a rozvoji verejného zdravia a o zmene a doplnení niektorých zákonov v znení neskorších predpisov a ktorým sa  menia a dopĺňajú niektoré zákony (ďalej len „návrh zákona“)</w:t>
      </w:r>
    </w:p>
    <w:p w14:paraId="00000004" w14:textId="77777777" w:rsidR="00EB1A0E" w:rsidRDefault="00867128">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Predkladateľ: </w:t>
      </w:r>
    </w:p>
    <w:p w14:paraId="5930720B" w14:textId="77777777" w:rsidR="009035AF" w:rsidRPr="009035AF" w:rsidRDefault="009035AF" w:rsidP="009035AF">
      <w:pPr>
        <w:jc w:val="both"/>
        <w:rPr>
          <w:rFonts w:ascii="Times New Roman" w:eastAsia="Times New Roman" w:hAnsi="Times New Roman" w:cs="Times New Roman"/>
          <w:bCs/>
          <w:sz w:val="24"/>
          <w:szCs w:val="24"/>
          <w:lang w:val="sk-SK"/>
        </w:rPr>
      </w:pPr>
      <w:r w:rsidRPr="009035AF">
        <w:rPr>
          <w:rFonts w:ascii="Times New Roman" w:eastAsia="Times New Roman" w:hAnsi="Times New Roman" w:cs="Times New Roman"/>
          <w:bCs/>
          <w:sz w:val="24"/>
          <w:szCs w:val="24"/>
          <w:lang w:val="sk-SK"/>
        </w:rPr>
        <w:t>Vláda Slovenskej republiky</w:t>
      </w:r>
    </w:p>
    <w:p w14:paraId="00000006" w14:textId="77777777" w:rsidR="00EB1A0E" w:rsidRDefault="00867128">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3.1 Náklady regulácie</w:t>
      </w:r>
    </w:p>
    <w:p w14:paraId="00000007" w14:textId="77777777" w:rsidR="00EB1A0E" w:rsidRDefault="00867128">
      <w:pPr>
        <w:tabs>
          <w:tab w:val="left" w:pos="8025"/>
        </w:tabs>
        <w:rPr>
          <w:rFonts w:ascii="Times New Roman" w:eastAsia="Times New Roman" w:hAnsi="Times New Roman" w:cs="Times New Roman"/>
          <w:i/>
          <w:sz w:val="24"/>
          <w:szCs w:val="24"/>
        </w:rPr>
      </w:pPr>
      <w:r>
        <w:rPr>
          <w:rFonts w:ascii="Times New Roman" w:eastAsia="Times New Roman" w:hAnsi="Times New Roman" w:cs="Times New Roman"/>
          <w:b/>
          <w:i/>
          <w:sz w:val="24"/>
          <w:szCs w:val="24"/>
        </w:rPr>
        <w:t xml:space="preserve">3.1.1 Súhrnná tabuľka nákladov regulácie </w:t>
      </w:r>
      <w:r>
        <w:rPr>
          <w:rFonts w:ascii="Times New Roman" w:eastAsia="Times New Roman" w:hAnsi="Times New Roman" w:cs="Times New Roman"/>
          <w:b/>
          <w:i/>
          <w:sz w:val="24"/>
          <w:szCs w:val="24"/>
        </w:rPr>
        <w:tab/>
      </w:r>
    </w:p>
    <w:p w14:paraId="00000008" w14:textId="77777777" w:rsidR="00EB1A0E" w:rsidRDefault="00867128">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Tabuľka č. 1: </w:t>
      </w:r>
    </w:p>
    <w:tbl>
      <w:tblPr>
        <w:tblW w:w="8300" w:type="dxa"/>
        <w:tblCellMar>
          <w:left w:w="70" w:type="dxa"/>
          <w:right w:w="70" w:type="dxa"/>
        </w:tblCellMar>
        <w:tblLook w:val="04A0" w:firstRow="1" w:lastRow="0" w:firstColumn="1" w:lastColumn="0" w:noHBand="0" w:noVBand="1"/>
      </w:tblPr>
      <w:tblGrid>
        <w:gridCol w:w="4540"/>
        <w:gridCol w:w="1880"/>
        <w:gridCol w:w="1880"/>
      </w:tblGrid>
      <w:tr w:rsidR="00867128" w:rsidRPr="00867128" w14:paraId="3AE872CE" w14:textId="77777777" w:rsidTr="00867128">
        <w:trPr>
          <w:trHeight w:val="675"/>
        </w:trPr>
        <w:tc>
          <w:tcPr>
            <w:tcW w:w="4540" w:type="dxa"/>
            <w:tcBorders>
              <w:top w:val="single" w:sz="8" w:space="0" w:color="auto"/>
              <w:left w:val="single" w:sz="8" w:space="0" w:color="auto"/>
              <w:bottom w:val="single" w:sz="8" w:space="0" w:color="auto"/>
              <w:right w:val="single" w:sz="4" w:space="0" w:color="auto"/>
            </w:tcBorders>
            <w:vAlign w:val="center"/>
            <w:hideMark/>
          </w:tcPr>
          <w:p w14:paraId="5F8648E6" w14:textId="77777777" w:rsidR="00867128" w:rsidRPr="00867128" w:rsidRDefault="00867128" w:rsidP="00867128">
            <w:pPr>
              <w:spacing w:after="0" w:line="240" w:lineRule="auto"/>
              <w:jc w:val="center"/>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TYP NÁKLADOV</w:t>
            </w:r>
          </w:p>
        </w:tc>
        <w:tc>
          <w:tcPr>
            <w:tcW w:w="1880" w:type="dxa"/>
            <w:tcBorders>
              <w:top w:val="single" w:sz="8" w:space="0" w:color="auto"/>
              <w:left w:val="nil"/>
              <w:bottom w:val="single" w:sz="8" w:space="0" w:color="auto"/>
              <w:right w:val="single" w:sz="4" w:space="0" w:color="auto"/>
            </w:tcBorders>
            <w:shd w:val="clear" w:color="000000" w:fill="FFC000"/>
            <w:vAlign w:val="center"/>
            <w:hideMark/>
          </w:tcPr>
          <w:p w14:paraId="3DA78130"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Zvýšenie nákladov v € na PP</w:t>
            </w:r>
          </w:p>
        </w:tc>
        <w:tc>
          <w:tcPr>
            <w:tcW w:w="1880" w:type="dxa"/>
            <w:tcBorders>
              <w:top w:val="single" w:sz="8" w:space="0" w:color="auto"/>
              <w:left w:val="nil"/>
              <w:bottom w:val="single" w:sz="8" w:space="0" w:color="auto"/>
              <w:right w:val="single" w:sz="8" w:space="0" w:color="auto"/>
            </w:tcBorders>
            <w:shd w:val="clear" w:color="000000" w:fill="92D050"/>
            <w:vAlign w:val="center"/>
            <w:hideMark/>
          </w:tcPr>
          <w:p w14:paraId="5E13DBE9"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Zníženie nákladov v € na PP</w:t>
            </w:r>
          </w:p>
        </w:tc>
      </w:tr>
      <w:tr w:rsidR="00867128" w:rsidRPr="00867128" w14:paraId="51B71A2D" w14:textId="77777777" w:rsidTr="00867128">
        <w:trPr>
          <w:trHeight w:val="810"/>
        </w:trPr>
        <w:tc>
          <w:tcPr>
            <w:tcW w:w="4540" w:type="dxa"/>
            <w:tcBorders>
              <w:top w:val="nil"/>
              <w:left w:val="single" w:sz="8" w:space="0" w:color="auto"/>
              <w:bottom w:val="single" w:sz="4" w:space="0" w:color="auto"/>
              <w:right w:val="single" w:sz="4" w:space="0" w:color="auto"/>
            </w:tcBorders>
            <w:vAlign w:val="center"/>
            <w:hideMark/>
          </w:tcPr>
          <w:p w14:paraId="028917AA"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A.Dane, odvody, clá a poplatky, ktorých cieľom je znižovať negatívne externality</w:t>
            </w:r>
          </w:p>
        </w:tc>
        <w:tc>
          <w:tcPr>
            <w:tcW w:w="1880" w:type="dxa"/>
            <w:tcBorders>
              <w:top w:val="nil"/>
              <w:left w:val="nil"/>
              <w:bottom w:val="single" w:sz="4" w:space="0" w:color="auto"/>
              <w:right w:val="single" w:sz="4" w:space="0" w:color="auto"/>
            </w:tcBorders>
            <w:shd w:val="clear" w:color="000000" w:fill="FFC000"/>
            <w:vAlign w:val="center"/>
            <w:hideMark/>
          </w:tcPr>
          <w:p w14:paraId="605D8B87"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nil"/>
              <w:left w:val="nil"/>
              <w:bottom w:val="single" w:sz="4" w:space="0" w:color="auto"/>
              <w:right w:val="single" w:sz="8" w:space="0" w:color="auto"/>
            </w:tcBorders>
            <w:shd w:val="clear" w:color="000000" w:fill="92D050"/>
            <w:vAlign w:val="center"/>
            <w:hideMark/>
          </w:tcPr>
          <w:p w14:paraId="7FBEB1C7"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r>
      <w:tr w:rsidR="00867128" w:rsidRPr="00867128" w14:paraId="454B22ED" w14:textId="77777777" w:rsidTr="00867128">
        <w:trPr>
          <w:trHeight w:val="300"/>
        </w:trPr>
        <w:tc>
          <w:tcPr>
            <w:tcW w:w="4540" w:type="dxa"/>
            <w:tcBorders>
              <w:top w:val="nil"/>
              <w:left w:val="single" w:sz="8" w:space="0" w:color="auto"/>
              <w:bottom w:val="single" w:sz="4" w:space="0" w:color="auto"/>
              <w:right w:val="single" w:sz="4" w:space="0" w:color="auto"/>
            </w:tcBorders>
            <w:vAlign w:val="center"/>
            <w:hideMark/>
          </w:tcPr>
          <w:p w14:paraId="787405FD"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B. Iné poplatky</w:t>
            </w:r>
          </w:p>
        </w:tc>
        <w:tc>
          <w:tcPr>
            <w:tcW w:w="1880" w:type="dxa"/>
            <w:tcBorders>
              <w:top w:val="nil"/>
              <w:left w:val="nil"/>
              <w:bottom w:val="single" w:sz="4" w:space="0" w:color="auto"/>
              <w:right w:val="single" w:sz="4" w:space="0" w:color="auto"/>
            </w:tcBorders>
            <w:shd w:val="clear" w:color="000000" w:fill="FFC000"/>
            <w:vAlign w:val="center"/>
            <w:hideMark/>
          </w:tcPr>
          <w:p w14:paraId="1616AC5B"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30 951</w:t>
            </w:r>
          </w:p>
        </w:tc>
        <w:tc>
          <w:tcPr>
            <w:tcW w:w="1880" w:type="dxa"/>
            <w:tcBorders>
              <w:top w:val="nil"/>
              <w:left w:val="nil"/>
              <w:bottom w:val="single" w:sz="4" w:space="0" w:color="auto"/>
              <w:right w:val="single" w:sz="8" w:space="0" w:color="auto"/>
            </w:tcBorders>
            <w:shd w:val="clear" w:color="000000" w:fill="92D050"/>
            <w:vAlign w:val="center"/>
            <w:hideMark/>
          </w:tcPr>
          <w:p w14:paraId="7EDED2D5"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62 102</w:t>
            </w:r>
          </w:p>
        </w:tc>
      </w:tr>
      <w:tr w:rsidR="00867128" w:rsidRPr="00867128" w14:paraId="7E96E59B" w14:textId="77777777" w:rsidTr="00867128">
        <w:trPr>
          <w:trHeight w:val="300"/>
        </w:trPr>
        <w:tc>
          <w:tcPr>
            <w:tcW w:w="4540" w:type="dxa"/>
            <w:tcBorders>
              <w:top w:val="nil"/>
              <w:left w:val="single" w:sz="8" w:space="0" w:color="auto"/>
              <w:bottom w:val="single" w:sz="4" w:space="0" w:color="auto"/>
              <w:right w:val="single" w:sz="4" w:space="0" w:color="auto"/>
            </w:tcBorders>
            <w:vAlign w:val="center"/>
            <w:hideMark/>
          </w:tcPr>
          <w:p w14:paraId="6E87A726"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C. Sankcie a pokuty</w:t>
            </w:r>
          </w:p>
        </w:tc>
        <w:tc>
          <w:tcPr>
            <w:tcW w:w="1880" w:type="dxa"/>
            <w:tcBorders>
              <w:top w:val="nil"/>
              <w:left w:val="nil"/>
              <w:bottom w:val="single" w:sz="4" w:space="0" w:color="auto"/>
              <w:right w:val="single" w:sz="4" w:space="0" w:color="auto"/>
            </w:tcBorders>
            <w:shd w:val="clear" w:color="000000" w:fill="FFC000"/>
            <w:vAlign w:val="center"/>
            <w:hideMark/>
          </w:tcPr>
          <w:p w14:paraId="652460D4"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nil"/>
              <w:left w:val="nil"/>
              <w:bottom w:val="single" w:sz="4" w:space="0" w:color="auto"/>
              <w:right w:val="single" w:sz="8" w:space="0" w:color="auto"/>
            </w:tcBorders>
            <w:shd w:val="clear" w:color="000000" w:fill="92D050"/>
            <w:vAlign w:val="center"/>
            <w:hideMark/>
          </w:tcPr>
          <w:p w14:paraId="3FA380F4"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r>
      <w:tr w:rsidR="00867128" w:rsidRPr="00867128" w14:paraId="0633D4F9" w14:textId="77777777" w:rsidTr="00867128">
        <w:trPr>
          <w:trHeight w:val="300"/>
        </w:trPr>
        <w:tc>
          <w:tcPr>
            <w:tcW w:w="4540" w:type="dxa"/>
            <w:tcBorders>
              <w:top w:val="nil"/>
              <w:left w:val="single" w:sz="8" w:space="0" w:color="auto"/>
              <w:bottom w:val="single" w:sz="4" w:space="0" w:color="auto"/>
              <w:right w:val="single" w:sz="4" w:space="0" w:color="auto"/>
            </w:tcBorders>
            <w:vAlign w:val="center"/>
            <w:hideMark/>
          </w:tcPr>
          <w:p w14:paraId="7DF36AC2"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D. Nepriame finančné náklady</w:t>
            </w:r>
          </w:p>
        </w:tc>
        <w:tc>
          <w:tcPr>
            <w:tcW w:w="1880" w:type="dxa"/>
            <w:tcBorders>
              <w:top w:val="nil"/>
              <w:left w:val="nil"/>
              <w:bottom w:val="single" w:sz="4" w:space="0" w:color="auto"/>
              <w:right w:val="single" w:sz="4" w:space="0" w:color="auto"/>
            </w:tcBorders>
            <w:shd w:val="clear" w:color="000000" w:fill="FFC000"/>
            <w:vAlign w:val="center"/>
            <w:hideMark/>
          </w:tcPr>
          <w:p w14:paraId="7E5393A0"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nil"/>
              <w:left w:val="nil"/>
              <w:bottom w:val="single" w:sz="4" w:space="0" w:color="auto"/>
              <w:right w:val="single" w:sz="8" w:space="0" w:color="auto"/>
            </w:tcBorders>
            <w:shd w:val="clear" w:color="000000" w:fill="92D050"/>
            <w:vAlign w:val="center"/>
            <w:hideMark/>
          </w:tcPr>
          <w:p w14:paraId="67536AC4"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30 180</w:t>
            </w:r>
          </w:p>
        </w:tc>
      </w:tr>
      <w:tr w:rsidR="00867128" w:rsidRPr="00867128" w14:paraId="65148559" w14:textId="77777777" w:rsidTr="00867128">
        <w:trPr>
          <w:trHeight w:val="300"/>
        </w:trPr>
        <w:tc>
          <w:tcPr>
            <w:tcW w:w="4540" w:type="dxa"/>
            <w:tcBorders>
              <w:top w:val="nil"/>
              <w:left w:val="single" w:sz="8" w:space="0" w:color="auto"/>
              <w:bottom w:val="nil"/>
              <w:right w:val="single" w:sz="4" w:space="0" w:color="auto"/>
            </w:tcBorders>
            <w:vAlign w:val="center"/>
            <w:hideMark/>
          </w:tcPr>
          <w:p w14:paraId="0D7DF9ED"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E. Administratívne náklady</w:t>
            </w:r>
          </w:p>
        </w:tc>
        <w:tc>
          <w:tcPr>
            <w:tcW w:w="1880" w:type="dxa"/>
            <w:tcBorders>
              <w:top w:val="nil"/>
              <w:left w:val="nil"/>
              <w:bottom w:val="nil"/>
              <w:right w:val="single" w:sz="4" w:space="0" w:color="auto"/>
            </w:tcBorders>
            <w:shd w:val="clear" w:color="000000" w:fill="FFC000"/>
            <w:vAlign w:val="center"/>
            <w:hideMark/>
          </w:tcPr>
          <w:p w14:paraId="34E9A5AE"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nil"/>
              <w:left w:val="nil"/>
              <w:bottom w:val="nil"/>
              <w:right w:val="single" w:sz="8" w:space="0" w:color="auto"/>
            </w:tcBorders>
            <w:shd w:val="clear" w:color="000000" w:fill="92D050"/>
            <w:vAlign w:val="center"/>
            <w:hideMark/>
          </w:tcPr>
          <w:p w14:paraId="0285E0FA"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r>
      <w:tr w:rsidR="00867128" w:rsidRPr="00867128" w14:paraId="023740D4" w14:textId="77777777" w:rsidTr="00867128">
        <w:trPr>
          <w:trHeight w:val="300"/>
        </w:trPr>
        <w:tc>
          <w:tcPr>
            <w:tcW w:w="4540" w:type="dxa"/>
            <w:tcBorders>
              <w:top w:val="single" w:sz="8" w:space="0" w:color="auto"/>
              <w:left w:val="single" w:sz="8" w:space="0" w:color="auto"/>
              <w:bottom w:val="single" w:sz="8" w:space="0" w:color="auto"/>
              <w:right w:val="single" w:sz="4" w:space="0" w:color="auto"/>
            </w:tcBorders>
            <w:vAlign w:val="center"/>
            <w:hideMark/>
          </w:tcPr>
          <w:p w14:paraId="5F4C9FD1"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Spolu = A+B+C+D+E</w:t>
            </w:r>
          </w:p>
        </w:tc>
        <w:tc>
          <w:tcPr>
            <w:tcW w:w="1880" w:type="dxa"/>
            <w:tcBorders>
              <w:top w:val="single" w:sz="8" w:space="0" w:color="auto"/>
              <w:left w:val="nil"/>
              <w:bottom w:val="single" w:sz="8" w:space="0" w:color="auto"/>
              <w:right w:val="single" w:sz="4" w:space="0" w:color="auto"/>
            </w:tcBorders>
            <w:shd w:val="clear" w:color="000000" w:fill="FFC000"/>
            <w:vAlign w:val="center"/>
            <w:hideMark/>
          </w:tcPr>
          <w:p w14:paraId="199C08C5"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30 951</w:t>
            </w:r>
          </w:p>
        </w:tc>
        <w:tc>
          <w:tcPr>
            <w:tcW w:w="1880" w:type="dxa"/>
            <w:tcBorders>
              <w:top w:val="single" w:sz="8" w:space="0" w:color="auto"/>
              <w:left w:val="nil"/>
              <w:bottom w:val="single" w:sz="8" w:space="0" w:color="auto"/>
              <w:right w:val="single" w:sz="8" w:space="0" w:color="auto"/>
            </w:tcBorders>
            <w:shd w:val="clear" w:color="000000" w:fill="92D050"/>
            <w:vAlign w:val="center"/>
            <w:hideMark/>
          </w:tcPr>
          <w:p w14:paraId="12091A01"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92 282</w:t>
            </w:r>
          </w:p>
        </w:tc>
      </w:tr>
      <w:tr w:rsidR="00867128" w:rsidRPr="00867128" w14:paraId="72738747" w14:textId="77777777" w:rsidTr="00867128">
        <w:trPr>
          <w:trHeight w:val="300"/>
        </w:trPr>
        <w:tc>
          <w:tcPr>
            <w:tcW w:w="4540" w:type="dxa"/>
            <w:tcBorders>
              <w:top w:val="nil"/>
              <w:left w:val="nil"/>
              <w:bottom w:val="nil"/>
              <w:right w:val="nil"/>
            </w:tcBorders>
            <w:vAlign w:val="center"/>
            <w:hideMark/>
          </w:tcPr>
          <w:p w14:paraId="1CBEBBCA"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p>
        </w:tc>
        <w:tc>
          <w:tcPr>
            <w:tcW w:w="1880" w:type="dxa"/>
            <w:tcBorders>
              <w:top w:val="nil"/>
              <w:left w:val="nil"/>
              <w:bottom w:val="nil"/>
              <w:right w:val="nil"/>
            </w:tcBorders>
            <w:vAlign w:val="center"/>
            <w:hideMark/>
          </w:tcPr>
          <w:p w14:paraId="5C3705C2"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c>
          <w:tcPr>
            <w:tcW w:w="1880" w:type="dxa"/>
            <w:tcBorders>
              <w:top w:val="nil"/>
              <w:left w:val="nil"/>
              <w:bottom w:val="nil"/>
              <w:right w:val="nil"/>
            </w:tcBorders>
            <w:vAlign w:val="center"/>
            <w:hideMark/>
          </w:tcPr>
          <w:p w14:paraId="45E4B7FF"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1364FA6C" w14:textId="77777777" w:rsidTr="00867128">
        <w:trPr>
          <w:trHeight w:val="600"/>
        </w:trPr>
        <w:tc>
          <w:tcPr>
            <w:tcW w:w="4540" w:type="dxa"/>
            <w:tcBorders>
              <w:top w:val="single" w:sz="8" w:space="0" w:color="auto"/>
              <w:left w:val="single" w:sz="8" w:space="0" w:color="auto"/>
              <w:bottom w:val="single" w:sz="8" w:space="0" w:color="auto"/>
              <w:right w:val="single" w:sz="4" w:space="0" w:color="auto"/>
            </w:tcBorders>
            <w:vAlign w:val="center"/>
            <w:hideMark/>
          </w:tcPr>
          <w:p w14:paraId="5519A03C"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Harmonizácia práva EÚ</w:t>
            </w:r>
          </w:p>
        </w:tc>
        <w:tc>
          <w:tcPr>
            <w:tcW w:w="1880" w:type="dxa"/>
            <w:tcBorders>
              <w:top w:val="single" w:sz="8" w:space="0" w:color="auto"/>
              <w:left w:val="nil"/>
              <w:bottom w:val="single" w:sz="8" w:space="0" w:color="auto"/>
              <w:right w:val="single" w:sz="4" w:space="0" w:color="auto"/>
            </w:tcBorders>
            <w:shd w:val="clear" w:color="000000" w:fill="FFC000"/>
            <w:vAlign w:val="center"/>
            <w:hideMark/>
          </w:tcPr>
          <w:p w14:paraId="5324F7EF"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Zvýšenie nákladov v € na PP</w:t>
            </w:r>
          </w:p>
        </w:tc>
        <w:tc>
          <w:tcPr>
            <w:tcW w:w="1880" w:type="dxa"/>
            <w:tcBorders>
              <w:top w:val="single" w:sz="8" w:space="0" w:color="auto"/>
              <w:left w:val="nil"/>
              <w:bottom w:val="single" w:sz="8" w:space="0" w:color="auto"/>
              <w:right w:val="single" w:sz="8" w:space="0" w:color="auto"/>
            </w:tcBorders>
            <w:shd w:val="clear" w:color="000000" w:fill="92D050"/>
            <w:vAlign w:val="center"/>
            <w:hideMark/>
          </w:tcPr>
          <w:p w14:paraId="4C48795E"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Zníženie nákladov v € na PP</w:t>
            </w:r>
          </w:p>
        </w:tc>
      </w:tr>
      <w:tr w:rsidR="00867128" w:rsidRPr="00867128" w14:paraId="4BA5A7C8" w14:textId="77777777" w:rsidTr="00867128">
        <w:trPr>
          <w:trHeight w:val="990"/>
        </w:trPr>
        <w:tc>
          <w:tcPr>
            <w:tcW w:w="4540" w:type="dxa"/>
            <w:tcBorders>
              <w:top w:val="nil"/>
              <w:left w:val="single" w:sz="8" w:space="0" w:color="auto"/>
              <w:bottom w:val="nil"/>
              <w:right w:val="single" w:sz="4" w:space="0" w:color="auto"/>
            </w:tcBorders>
            <w:vAlign w:val="center"/>
            <w:hideMark/>
          </w:tcPr>
          <w:p w14:paraId="23E7AA99"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F. Úplná harmonizácia práva EÚ</w:t>
            </w:r>
            <w:r w:rsidRPr="00867128">
              <w:rPr>
                <w:rFonts w:ascii="Times New Roman" w:eastAsia="Times New Roman" w:hAnsi="Times New Roman" w:cs="Times New Roman"/>
                <w:b/>
                <w:bCs/>
                <w:i/>
                <w:iCs/>
                <w:color w:val="000000"/>
                <w:sz w:val="20"/>
                <w:szCs w:val="20"/>
                <w:lang w:val="sk-SK"/>
              </w:rPr>
              <w:br/>
            </w:r>
            <w:r w:rsidRPr="00867128">
              <w:rPr>
                <w:rFonts w:ascii="Times New Roman" w:eastAsia="Times New Roman" w:hAnsi="Times New Roman" w:cs="Times New Roman"/>
                <w:i/>
                <w:iCs/>
                <w:color w:val="000000"/>
                <w:sz w:val="16"/>
                <w:szCs w:val="16"/>
                <w:lang w:val="sk-SK"/>
              </w:rPr>
              <w:t>(okrem daní, odvodov, ciel a poplatkov, ktorých cieľom je znižovať negatívne externality)</w:t>
            </w:r>
          </w:p>
        </w:tc>
        <w:tc>
          <w:tcPr>
            <w:tcW w:w="1880" w:type="dxa"/>
            <w:tcBorders>
              <w:top w:val="nil"/>
              <w:left w:val="nil"/>
              <w:bottom w:val="nil"/>
              <w:right w:val="single" w:sz="4" w:space="0" w:color="auto"/>
            </w:tcBorders>
            <w:shd w:val="clear" w:color="000000" w:fill="FFC000"/>
            <w:vAlign w:val="center"/>
            <w:hideMark/>
          </w:tcPr>
          <w:p w14:paraId="09886D40"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nil"/>
              <w:left w:val="nil"/>
              <w:bottom w:val="nil"/>
              <w:right w:val="single" w:sz="8" w:space="0" w:color="auto"/>
            </w:tcBorders>
            <w:shd w:val="clear" w:color="000000" w:fill="92D050"/>
            <w:vAlign w:val="center"/>
            <w:hideMark/>
          </w:tcPr>
          <w:p w14:paraId="51D3F688"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r>
      <w:tr w:rsidR="00867128" w:rsidRPr="00867128" w14:paraId="3871F9B8" w14:textId="77777777" w:rsidTr="00867128">
        <w:trPr>
          <w:trHeight w:val="270"/>
        </w:trPr>
        <w:tc>
          <w:tcPr>
            <w:tcW w:w="4540" w:type="dxa"/>
            <w:tcBorders>
              <w:top w:val="single" w:sz="8" w:space="0" w:color="auto"/>
              <w:left w:val="single" w:sz="8" w:space="0" w:color="auto"/>
              <w:bottom w:val="single" w:sz="8" w:space="0" w:color="auto"/>
              <w:right w:val="single" w:sz="4" w:space="0" w:color="auto"/>
            </w:tcBorders>
            <w:vAlign w:val="center"/>
            <w:hideMark/>
          </w:tcPr>
          <w:p w14:paraId="2D227E79" w14:textId="77777777" w:rsidR="00867128" w:rsidRPr="00867128" w:rsidRDefault="00867128" w:rsidP="00867128">
            <w:pPr>
              <w:spacing w:after="0" w:line="240" w:lineRule="auto"/>
              <w:rPr>
                <w:rFonts w:ascii="Times New Roman" w:eastAsia="Times New Roman" w:hAnsi="Times New Roman" w:cs="Times New Roman"/>
                <w:b/>
                <w:bCs/>
                <w:i/>
                <w:iCs/>
                <w:color w:val="000000"/>
                <w:sz w:val="20"/>
                <w:szCs w:val="20"/>
                <w:lang w:val="sk-SK"/>
              </w:rPr>
            </w:pPr>
            <w:r w:rsidRPr="00867128">
              <w:rPr>
                <w:rFonts w:ascii="Times New Roman" w:eastAsia="Times New Roman" w:hAnsi="Times New Roman" w:cs="Times New Roman"/>
                <w:b/>
                <w:bCs/>
                <w:i/>
                <w:iCs/>
                <w:color w:val="000000"/>
                <w:sz w:val="20"/>
                <w:szCs w:val="20"/>
                <w:lang w:val="sk-SK"/>
              </w:rPr>
              <w:t>G. Goldplating</w:t>
            </w:r>
          </w:p>
        </w:tc>
        <w:tc>
          <w:tcPr>
            <w:tcW w:w="1880" w:type="dxa"/>
            <w:tcBorders>
              <w:top w:val="single" w:sz="8" w:space="0" w:color="auto"/>
              <w:left w:val="nil"/>
              <w:bottom w:val="single" w:sz="8" w:space="0" w:color="auto"/>
              <w:right w:val="single" w:sz="4" w:space="0" w:color="auto"/>
            </w:tcBorders>
            <w:shd w:val="clear" w:color="000000" w:fill="FFC000"/>
            <w:vAlign w:val="center"/>
            <w:hideMark/>
          </w:tcPr>
          <w:p w14:paraId="1F5AA121"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c>
          <w:tcPr>
            <w:tcW w:w="1880" w:type="dxa"/>
            <w:tcBorders>
              <w:top w:val="single" w:sz="8" w:space="0" w:color="auto"/>
              <w:left w:val="nil"/>
              <w:bottom w:val="single" w:sz="8" w:space="0" w:color="auto"/>
              <w:right w:val="single" w:sz="8" w:space="0" w:color="auto"/>
            </w:tcBorders>
            <w:shd w:val="clear" w:color="000000" w:fill="92D050"/>
            <w:vAlign w:val="center"/>
            <w:hideMark/>
          </w:tcPr>
          <w:p w14:paraId="72E4392A"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0</w:t>
            </w:r>
          </w:p>
        </w:tc>
      </w:tr>
      <w:tr w:rsidR="00867128" w:rsidRPr="00867128" w14:paraId="1C16C208" w14:textId="77777777" w:rsidTr="00867128">
        <w:trPr>
          <w:trHeight w:val="270"/>
        </w:trPr>
        <w:tc>
          <w:tcPr>
            <w:tcW w:w="4540" w:type="dxa"/>
            <w:tcBorders>
              <w:top w:val="nil"/>
              <w:left w:val="nil"/>
              <w:bottom w:val="nil"/>
              <w:right w:val="nil"/>
            </w:tcBorders>
            <w:noWrap/>
            <w:vAlign w:val="bottom"/>
            <w:hideMark/>
          </w:tcPr>
          <w:p w14:paraId="0785CC42"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p>
        </w:tc>
        <w:tc>
          <w:tcPr>
            <w:tcW w:w="1880" w:type="dxa"/>
            <w:tcBorders>
              <w:top w:val="nil"/>
              <w:left w:val="nil"/>
              <w:bottom w:val="nil"/>
              <w:right w:val="nil"/>
            </w:tcBorders>
            <w:vAlign w:val="center"/>
            <w:hideMark/>
          </w:tcPr>
          <w:p w14:paraId="32F9AD3C"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c>
          <w:tcPr>
            <w:tcW w:w="1880" w:type="dxa"/>
            <w:tcBorders>
              <w:top w:val="nil"/>
              <w:left w:val="nil"/>
              <w:bottom w:val="nil"/>
              <w:right w:val="nil"/>
            </w:tcBorders>
            <w:vAlign w:val="center"/>
            <w:hideMark/>
          </w:tcPr>
          <w:p w14:paraId="2F77A58C"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4B8D81C1" w14:textId="77777777" w:rsidTr="00867128">
        <w:trPr>
          <w:trHeight w:val="270"/>
        </w:trPr>
        <w:tc>
          <w:tcPr>
            <w:tcW w:w="4540" w:type="dxa"/>
            <w:tcBorders>
              <w:top w:val="nil"/>
              <w:left w:val="nil"/>
              <w:bottom w:val="nil"/>
              <w:right w:val="nil"/>
            </w:tcBorders>
            <w:noWrap/>
            <w:vAlign w:val="bottom"/>
            <w:hideMark/>
          </w:tcPr>
          <w:p w14:paraId="301E5C0A"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c>
          <w:tcPr>
            <w:tcW w:w="1880" w:type="dxa"/>
            <w:tcBorders>
              <w:top w:val="nil"/>
              <w:left w:val="nil"/>
              <w:bottom w:val="nil"/>
              <w:right w:val="nil"/>
            </w:tcBorders>
            <w:vAlign w:val="center"/>
            <w:hideMark/>
          </w:tcPr>
          <w:p w14:paraId="17BDA8C7"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c>
          <w:tcPr>
            <w:tcW w:w="1880" w:type="dxa"/>
            <w:tcBorders>
              <w:top w:val="nil"/>
              <w:left w:val="nil"/>
              <w:bottom w:val="nil"/>
              <w:right w:val="nil"/>
            </w:tcBorders>
            <w:vAlign w:val="center"/>
            <w:hideMark/>
          </w:tcPr>
          <w:p w14:paraId="62009629"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0D9F25E9" w14:textId="77777777" w:rsidTr="00867128">
        <w:trPr>
          <w:trHeight w:val="330"/>
        </w:trPr>
        <w:tc>
          <w:tcPr>
            <w:tcW w:w="4540" w:type="dxa"/>
            <w:tcBorders>
              <w:top w:val="single" w:sz="8" w:space="0" w:color="auto"/>
              <w:left w:val="single" w:sz="8" w:space="0" w:color="auto"/>
              <w:bottom w:val="single" w:sz="4" w:space="0" w:color="auto"/>
              <w:right w:val="single" w:sz="4" w:space="0" w:color="auto"/>
            </w:tcBorders>
            <w:vAlign w:val="center"/>
            <w:hideMark/>
          </w:tcPr>
          <w:p w14:paraId="0EB7A14F" w14:textId="77777777" w:rsidR="00867128" w:rsidRPr="00867128" w:rsidRDefault="00867128" w:rsidP="00867128">
            <w:pPr>
              <w:spacing w:after="0" w:line="240" w:lineRule="auto"/>
              <w:rPr>
                <w:rFonts w:ascii="Times New Roman" w:eastAsia="Times New Roman" w:hAnsi="Times New Roman" w:cs="Times New Roman"/>
                <w:i/>
                <w:iCs/>
                <w:color w:val="000000"/>
                <w:sz w:val="20"/>
                <w:szCs w:val="20"/>
                <w:lang w:val="sk-SK"/>
              </w:rPr>
            </w:pPr>
            <w:r w:rsidRPr="00867128">
              <w:rPr>
                <w:rFonts w:ascii="Times New Roman" w:eastAsia="Times New Roman" w:hAnsi="Times New Roman" w:cs="Times New Roman"/>
                <w:i/>
                <w:iCs/>
                <w:color w:val="000000"/>
                <w:sz w:val="20"/>
                <w:szCs w:val="20"/>
                <w:lang w:val="sk-SK"/>
              </w:rPr>
              <w:t>VÝPOČET PRAVIDLA 1in2out:</w:t>
            </w:r>
          </w:p>
        </w:tc>
        <w:tc>
          <w:tcPr>
            <w:tcW w:w="1880" w:type="dxa"/>
            <w:tcBorders>
              <w:top w:val="single" w:sz="8" w:space="0" w:color="auto"/>
              <w:left w:val="nil"/>
              <w:bottom w:val="single" w:sz="4" w:space="0" w:color="auto"/>
              <w:right w:val="single" w:sz="4" w:space="0" w:color="auto"/>
            </w:tcBorders>
            <w:shd w:val="clear" w:color="000000" w:fill="FFC000"/>
            <w:vAlign w:val="center"/>
            <w:hideMark/>
          </w:tcPr>
          <w:p w14:paraId="35B3FF29"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IN</w:t>
            </w:r>
          </w:p>
        </w:tc>
        <w:tc>
          <w:tcPr>
            <w:tcW w:w="1880" w:type="dxa"/>
            <w:tcBorders>
              <w:top w:val="single" w:sz="8" w:space="0" w:color="auto"/>
              <w:left w:val="nil"/>
              <w:bottom w:val="single" w:sz="4" w:space="0" w:color="auto"/>
              <w:right w:val="single" w:sz="8" w:space="0" w:color="auto"/>
            </w:tcBorders>
            <w:shd w:val="clear" w:color="000000" w:fill="92D050"/>
            <w:vAlign w:val="center"/>
            <w:hideMark/>
          </w:tcPr>
          <w:p w14:paraId="555088DB"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OUT</w:t>
            </w:r>
          </w:p>
        </w:tc>
      </w:tr>
      <w:tr w:rsidR="00867128" w:rsidRPr="00867128" w14:paraId="54F0FB1D" w14:textId="77777777" w:rsidTr="00867128">
        <w:trPr>
          <w:trHeight w:val="345"/>
        </w:trPr>
        <w:tc>
          <w:tcPr>
            <w:tcW w:w="4540" w:type="dxa"/>
            <w:tcBorders>
              <w:top w:val="nil"/>
              <w:left w:val="single" w:sz="8" w:space="0" w:color="auto"/>
              <w:bottom w:val="single" w:sz="8" w:space="0" w:color="auto"/>
              <w:right w:val="single" w:sz="4" w:space="0" w:color="auto"/>
            </w:tcBorders>
            <w:vAlign w:val="center"/>
            <w:hideMark/>
          </w:tcPr>
          <w:p w14:paraId="2D7E01C9" w14:textId="77777777" w:rsidR="00867128" w:rsidRPr="00867128" w:rsidRDefault="00867128" w:rsidP="00867128">
            <w:pPr>
              <w:spacing w:after="0" w:line="240" w:lineRule="auto"/>
              <w:rPr>
                <w:rFonts w:ascii="Times New Roman" w:eastAsia="Times New Roman" w:hAnsi="Times New Roman" w:cs="Times New Roman"/>
                <w:i/>
                <w:iCs/>
                <w:color w:val="000000"/>
                <w:sz w:val="20"/>
                <w:szCs w:val="20"/>
                <w:lang w:val="sk-SK"/>
              </w:rPr>
            </w:pPr>
            <w:r w:rsidRPr="00867128">
              <w:rPr>
                <w:rFonts w:ascii="Times New Roman" w:eastAsia="Times New Roman" w:hAnsi="Times New Roman" w:cs="Times New Roman"/>
                <w:i/>
                <w:iCs/>
                <w:color w:val="000000"/>
                <w:sz w:val="20"/>
                <w:szCs w:val="20"/>
                <w:lang w:val="sk-SK"/>
              </w:rPr>
              <w:t>H</w:t>
            </w:r>
            <w:r w:rsidRPr="00867128">
              <w:rPr>
                <w:rFonts w:ascii="Times New Roman" w:eastAsia="Times New Roman" w:hAnsi="Times New Roman" w:cs="Times New Roman"/>
                <w:b/>
                <w:bCs/>
                <w:i/>
                <w:iCs/>
                <w:color w:val="000000"/>
                <w:sz w:val="20"/>
                <w:szCs w:val="20"/>
                <w:lang w:val="sk-SK"/>
              </w:rPr>
              <w:t>.</w:t>
            </w:r>
            <w:r w:rsidRPr="00867128">
              <w:rPr>
                <w:rFonts w:ascii="Times New Roman" w:eastAsia="Times New Roman" w:hAnsi="Times New Roman" w:cs="Times New Roman"/>
                <w:i/>
                <w:iCs/>
                <w:color w:val="000000"/>
                <w:sz w:val="20"/>
                <w:szCs w:val="20"/>
                <w:lang w:val="sk-SK"/>
              </w:rPr>
              <w:t xml:space="preserve"> Náklady okrem výnimiek = B+D+E-F</w:t>
            </w:r>
          </w:p>
        </w:tc>
        <w:tc>
          <w:tcPr>
            <w:tcW w:w="1880" w:type="dxa"/>
            <w:tcBorders>
              <w:top w:val="nil"/>
              <w:left w:val="nil"/>
              <w:bottom w:val="single" w:sz="8" w:space="0" w:color="auto"/>
              <w:right w:val="single" w:sz="4" w:space="0" w:color="auto"/>
            </w:tcBorders>
            <w:shd w:val="clear" w:color="000000" w:fill="FFC000"/>
            <w:vAlign w:val="center"/>
            <w:hideMark/>
          </w:tcPr>
          <w:p w14:paraId="561740F4"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30 951</w:t>
            </w:r>
          </w:p>
        </w:tc>
        <w:tc>
          <w:tcPr>
            <w:tcW w:w="1880" w:type="dxa"/>
            <w:tcBorders>
              <w:top w:val="nil"/>
              <w:left w:val="nil"/>
              <w:bottom w:val="single" w:sz="8" w:space="0" w:color="auto"/>
              <w:right w:val="single" w:sz="8" w:space="0" w:color="auto"/>
            </w:tcBorders>
            <w:shd w:val="clear" w:color="000000" w:fill="92D050"/>
            <w:vAlign w:val="center"/>
            <w:hideMark/>
          </w:tcPr>
          <w:p w14:paraId="5523AEAD"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92 282</w:t>
            </w:r>
          </w:p>
        </w:tc>
      </w:tr>
    </w:tbl>
    <w:p w14:paraId="00000009" w14:textId="77777777" w:rsidR="00EB1A0E" w:rsidRDefault="00EB1A0E">
      <w:pPr>
        <w:rPr>
          <w:rFonts w:ascii="Times New Roman" w:eastAsia="Times New Roman" w:hAnsi="Times New Roman" w:cs="Times New Roman"/>
          <w:b/>
          <w:sz w:val="24"/>
          <w:szCs w:val="24"/>
        </w:rPr>
      </w:pPr>
    </w:p>
    <w:p w14:paraId="36A91A52" w14:textId="77777777" w:rsidR="00867128" w:rsidRDefault="00867128">
      <w:pPr>
        <w:rPr>
          <w:rFonts w:ascii="Times New Roman" w:eastAsia="Times New Roman" w:hAnsi="Times New Roman" w:cs="Times New Roman"/>
          <w:b/>
          <w:sz w:val="24"/>
          <w:szCs w:val="24"/>
        </w:rPr>
      </w:pPr>
    </w:p>
    <w:p w14:paraId="1E284A0A" w14:textId="77777777" w:rsidR="00867128" w:rsidRDefault="00867128">
      <w:pPr>
        <w:rPr>
          <w:rFonts w:ascii="Times New Roman" w:eastAsia="Times New Roman" w:hAnsi="Times New Roman" w:cs="Times New Roman"/>
          <w:b/>
          <w:sz w:val="24"/>
          <w:szCs w:val="24"/>
        </w:rPr>
      </w:pPr>
    </w:p>
    <w:p w14:paraId="00000037" w14:textId="77777777" w:rsidR="00EB1A0E" w:rsidRDefault="00EB1A0E">
      <w:pPr>
        <w:rPr>
          <w:rFonts w:ascii="Times New Roman" w:eastAsia="Times New Roman" w:hAnsi="Times New Roman" w:cs="Times New Roman"/>
          <w:b/>
          <w:sz w:val="24"/>
          <w:szCs w:val="24"/>
        </w:rPr>
        <w:sectPr w:rsidR="00EB1A0E">
          <w:headerReference w:type="default" r:id="rId8"/>
          <w:footerReference w:type="default" r:id="rId9"/>
          <w:pgSz w:w="11906" w:h="16838"/>
          <w:pgMar w:top="993" w:right="1417" w:bottom="1417" w:left="1417" w:header="708" w:footer="708" w:gutter="0"/>
          <w:pgNumType w:start="1"/>
          <w:cols w:space="708"/>
        </w:sectPr>
      </w:pPr>
    </w:p>
    <w:p w14:paraId="00000038" w14:textId="77777777" w:rsidR="00EB1A0E" w:rsidRDefault="00867128">
      <w:pP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lastRenderedPageBreak/>
        <w:t>3.1.2 Výpočty vplyvov jednotlivých regulácií na zmeny v nákladoch podnikateľov</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p>
    <w:p w14:paraId="00000039" w14:textId="77777777" w:rsidR="00EB1A0E" w:rsidRDefault="00867128">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Tabuľka č. 2: Výpočet vplyvov jednotlivých regulácií</w:t>
      </w:r>
    </w:p>
    <w:tbl>
      <w:tblPr>
        <w:tblW w:w="5000" w:type="pct"/>
        <w:tblCellMar>
          <w:left w:w="70" w:type="dxa"/>
          <w:right w:w="70" w:type="dxa"/>
        </w:tblCellMar>
        <w:tblLook w:val="04A0" w:firstRow="1" w:lastRow="0" w:firstColumn="1" w:lastColumn="0" w:noHBand="0" w:noVBand="1"/>
      </w:tblPr>
      <w:tblGrid>
        <w:gridCol w:w="451"/>
        <w:gridCol w:w="1618"/>
        <w:gridCol w:w="863"/>
        <w:gridCol w:w="1129"/>
        <w:gridCol w:w="1808"/>
        <w:gridCol w:w="934"/>
        <w:gridCol w:w="1518"/>
        <w:gridCol w:w="974"/>
        <w:gridCol w:w="791"/>
        <w:gridCol w:w="974"/>
        <w:gridCol w:w="840"/>
        <w:gridCol w:w="785"/>
        <w:gridCol w:w="1163"/>
        <w:gridCol w:w="146"/>
      </w:tblGrid>
      <w:tr w:rsidR="00745BD2" w:rsidRPr="00867128" w14:paraId="4C8E3726" w14:textId="77777777" w:rsidTr="00867128">
        <w:trPr>
          <w:gridAfter w:val="1"/>
          <w:wAfter w:w="28" w:type="pct"/>
          <w:trHeight w:val="450"/>
        </w:trPr>
        <w:tc>
          <w:tcPr>
            <w:tcW w:w="168"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42FA4ECE"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P.č.</w:t>
            </w:r>
          </w:p>
        </w:tc>
        <w:tc>
          <w:tcPr>
            <w:tcW w:w="848"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17AE0922"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 xml:space="preserve">Zrozumiteľný a stručný opis regulácie </w:t>
            </w:r>
            <w:r w:rsidRPr="00867128">
              <w:rPr>
                <w:rFonts w:ascii="Times New Roman" w:eastAsia="Times New Roman" w:hAnsi="Times New Roman" w:cs="Times New Roman"/>
                <w:b/>
                <w:bCs/>
                <w:color w:val="000000"/>
                <w:sz w:val="20"/>
                <w:szCs w:val="20"/>
                <w:lang w:val="sk-SK"/>
              </w:rPr>
              <w:br/>
              <w:t>(dôvod zvýšenia/zníženia nákladov na PP a dôvod ponechania nákladov na PP, ktoré su goldplatingom)</w:t>
            </w:r>
          </w:p>
        </w:tc>
        <w:tc>
          <w:tcPr>
            <w:tcW w:w="352" w:type="pct"/>
            <w:vMerge w:val="restart"/>
            <w:tcBorders>
              <w:top w:val="single" w:sz="4" w:space="0" w:color="auto"/>
              <w:left w:val="single" w:sz="4" w:space="0" w:color="auto"/>
              <w:bottom w:val="single" w:sz="4" w:space="0" w:color="000000"/>
              <w:right w:val="single" w:sz="4" w:space="0" w:color="auto"/>
            </w:tcBorders>
            <w:shd w:val="clear" w:color="000000" w:fill="BFBFBF"/>
            <w:vAlign w:val="center"/>
            <w:hideMark/>
          </w:tcPr>
          <w:p w14:paraId="0AA11E18"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Číslo normy</w:t>
            </w:r>
            <w:r w:rsidRPr="00867128">
              <w:rPr>
                <w:rFonts w:ascii="Times New Roman" w:eastAsia="Times New Roman" w:hAnsi="Times New Roman" w:cs="Times New Roman"/>
                <w:b/>
                <w:bCs/>
                <w:color w:val="000000"/>
                <w:sz w:val="20"/>
                <w:szCs w:val="20"/>
                <w:lang w:val="sk-SK"/>
              </w:rPr>
              <w:br/>
            </w:r>
            <w:r w:rsidRPr="00867128">
              <w:rPr>
                <w:rFonts w:ascii="Times New Roman" w:eastAsia="Times New Roman" w:hAnsi="Times New Roman" w:cs="Times New Roman"/>
                <w:color w:val="000000"/>
                <w:sz w:val="20"/>
                <w:szCs w:val="20"/>
                <w:lang w:val="sk-SK"/>
              </w:rPr>
              <w:t>(zákona, vyhlášky a pod.)</w:t>
            </w:r>
          </w:p>
        </w:tc>
        <w:tc>
          <w:tcPr>
            <w:tcW w:w="353" w:type="pct"/>
            <w:vMerge w:val="restart"/>
            <w:tcBorders>
              <w:top w:val="single" w:sz="4" w:space="0" w:color="auto"/>
              <w:left w:val="single" w:sz="4" w:space="0" w:color="auto"/>
              <w:bottom w:val="single" w:sz="4" w:space="0" w:color="000000"/>
              <w:right w:val="single" w:sz="4" w:space="0" w:color="auto"/>
            </w:tcBorders>
            <w:shd w:val="clear" w:color="000000" w:fill="BFBFBF"/>
            <w:vAlign w:val="center"/>
            <w:hideMark/>
          </w:tcPr>
          <w:p w14:paraId="620C2FCC"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Lokalizácia</w:t>
            </w:r>
            <w:r w:rsidRPr="00867128">
              <w:rPr>
                <w:rFonts w:ascii="Times New Roman" w:eastAsia="Times New Roman" w:hAnsi="Times New Roman" w:cs="Times New Roman"/>
                <w:b/>
                <w:bCs/>
                <w:color w:val="000000"/>
                <w:sz w:val="20"/>
                <w:szCs w:val="20"/>
                <w:lang w:val="sk-SK"/>
              </w:rPr>
              <w:br/>
              <w:t>(§, ods., čl.,...)</w:t>
            </w:r>
          </w:p>
        </w:tc>
        <w:tc>
          <w:tcPr>
            <w:tcW w:w="1125"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8927DFA"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 xml:space="preserve">Pôvod regulácie: </w:t>
            </w:r>
            <w:r w:rsidRPr="00867128">
              <w:rPr>
                <w:rFonts w:ascii="Times New Roman" w:eastAsia="Times New Roman" w:hAnsi="Times New Roman" w:cs="Times New Roman"/>
                <w:b/>
                <w:bCs/>
                <w:color w:val="000000"/>
                <w:sz w:val="20"/>
                <w:szCs w:val="20"/>
                <w:lang w:val="sk-SK"/>
              </w:rPr>
              <w:br/>
            </w:r>
            <w:r w:rsidRPr="00867128">
              <w:rPr>
                <w:rFonts w:ascii="Times New Roman" w:eastAsia="Times New Roman" w:hAnsi="Times New Roman" w:cs="Times New Roman"/>
                <w:color w:val="000000"/>
                <w:sz w:val="20"/>
                <w:szCs w:val="20"/>
                <w:lang w:val="sk-SK"/>
              </w:rPr>
              <w:t>SK/EÚ úplná harm./</w:t>
            </w:r>
            <w:r w:rsidRPr="00867128">
              <w:rPr>
                <w:rFonts w:ascii="Times New Roman" w:eastAsia="Times New Roman" w:hAnsi="Times New Roman" w:cs="Times New Roman"/>
                <w:color w:val="000000"/>
                <w:sz w:val="20"/>
                <w:szCs w:val="20"/>
                <w:lang w:val="sk-SK"/>
              </w:rPr>
              <w:br/>
              <w:t>goldplating</w:t>
            </w:r>
          </w:p>
        </w:tc>
        <w:tc>
          <w:tcPr>
            <w:tcW w:w="189"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76F7A3A1"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Účinnosť regulácie</w:t>
            </w:r>
          </w:p>
        </w:tc>
        <w:tc>
          <w:tcPr>
            <w:tcW w:w="287"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154D4017"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Kategória dotk. subjektov</w:t>
            </w:r>
          </w:p>
        </w:tc>
        <w:tc>
          <w:tcPr>
            <w:tcW w:w="204"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4FA07BB6"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 xml:space="preserve">Počet dotk. subjektov spolu </w:t>
            </w:r>
          </w:p>
        </w:tc>
        <w:tc>
          <w:tcPr>
            <w:tcW w:w="222"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5AB6C849"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Vplyv na 1 podnik. v €</w:t>
            </w:r>
          </w:p>
        </w:tc>
        <w:tc>
          <w:tcPr>
            <w:tcW w:w="248"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312E8A30"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Vplyv na kategóriu dotk. subjektov v €</w:t>
            </w:r>
          </w:p>
        </w:tc>
        <w:tc>
          <w:tcPr>
            <w:tcW w:w="356" w:type="pct"/>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61781BF7"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Druh vplyvu</w:t>
            </w:r>
            <w:r w:rsidRPr="00867128">
              <w:rPr>
                <w:rFonts w:ascii="Times New Roman" w:eastAsia="Times New Roman" w:hAnsi="Times New Roman" w:cs="Times New Roman"/>
                <w:b/>
                <w:bCs/>
                <w:color w:val="000000"/>
                <w:sz w:val="20"/>
                <w:szCs w:val="20"/>
                <w:lang w:val="sk-SK"/>
              </w:rPr>
              <w:br/>
            </w:r>
            <w:r w:rsidRPr="00867128">
              <w:rPr>
                <w:rFonts w:ascii="Times New Roman" w:eastAsia="Times New Roman" w:hAnsi="Times New Roman" w:cs="Times New Roman"/>
                <w:color w:val="000000"/>
                <w:sz w:val="20"/>
                <w:szCs w:val="20"/>
                <w:lang w:val="sk-SK"/>
              </w:rPr>
              <w:t xml:space="preserve">In (zvyšuje náklady) / </w:t>
            </w:r>
            <w:r w:rsidRPr="00867128">
              <w:rPr>
                <w:rFonts w:ascii="Times New Roman" w:eastAsia="Times New Roman" w:hAnsi="Times New Roman" w:cs="Times New Roman"/>
                <w:color w:val="000000"/>
                <w:sz w:val="20"/>
                <w:szCs w:val="20"/>
                <w:lang w:val="sk-SK"/>
              </w:rPr>
              <w:br/>
              <w:t>Out (znižuje náklady) / Nemení sa</w:t>
            </w:r>
          </w:p>
        </w:tc>
        <w:tc>
          <w:tcPr>
            <w:tcW w:w="355" w:type="pct"/>
            <w:vMerge w:val="restart"/>
            <w:tcBorders>
              <w:top w:val="single" w:sz="4" w:space="0" w:color="auto"/>
              <w:left w:val="single" w:sz="4" w:space="0" w:color="auto"/>
              <w:bottom w:val="single" w:sz="4" w:space="0" w:color="auto"/>
              <w:right w:val="single" w:sz="4" w:space="0" w:color="auto"/>
            </w:tcBorders>
            <w:vAlign w:val="center"/>
            <w:hideMark/>
          </w:tcPr>
          <w:p w14:paraId="57D5CC57"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 xml:space="preserve">1in2out </w:t>
            </w:r>
            <w:r w:rsidRPr="00867128">
              <w:rPr>
                <w:rFonts w:ascii="Times New Roman" w:eastAsia="Times New Roman" w:hAnsi="Times New Roman" w:cs="Times New Roman"/>
                <w:b/>
                <w:bCs/>
                <w:color w:val="000000"/>
                <w:sz w:val="20"/>
                <w:szCs w:val="20"/>
                <w:lang w:val="sk-SK"/>
              </w:rPr>
              <w:br/>
              <w:t>celkom</w:t>
            </w:r>
          </w:p>
        </w:tc>
        <w:tc>
          <w:tcPr>
            <w:tcW w:w="264" w:type="pct"/>
            <w:vMerge w:val="restart"/>
            <w:tcBorders>
              <w:top w:val="single" w:sz="4" w:space="0" w:color="auto"/>
              <w:left w:val="single" w:sz="4" w:space="0" w:color="auto"/>
              <w:bottom w:val="single" w:sz="4" w:space="0" w:color="auto"/>
              <w:right w:val="single" w:sz="4" w:space="0" w:color="auto"/>
            </w:tcBorders>
            <w:vAlign w:val="center"/>
            <w:hideMark/>
          </w:tcPr>
          <w:p w14:paraId="400CF7E1"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r w:rsidRPr="00867128">
              <w:rPr>
                <w:rFonts w:ascii="Times New Roman" w:eastAsia="Times New Roman" w:hAnsi="Times New Roman" w:cs="Times New Roman"/>
                <w:b/>
                <w:bCs/>
                <w:color w:val="000000"/>
                <w:sz w:val="20"/>
                <w:szCs w:val="20"/>
                <w:lang w:val="sk-SK"/>
              </w:rPr>
              <w:t>Goldplating celkom</w:t>
            </w:r>
          </w:p>
        </w:tc>
      </w:tr>
      <w:tr w:rsidR="00867128" w:rsidRPr="00867128" w14:paraId="16168B43" w14:textId="77777777" w:rsidTr="00D12078">
        <w:trPr>
          <w:trHeight w:val="25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06E6806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53D9A459"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2" w:type="pct"/>
            <w:vMerge/>
            <w:tcBorders>
              <w:top w:val="single" w:sz="4" w:space="0" w:color="auto"/>
              <w:left w:val="single" w:sz="4" w:space="0" w:color="auto"/>
              <w:bottom w:val="single" w:sz="4" w:space="0" w:color="000000"/>
              <w:right w:val="single" w:sz="4" w:space="0" w:color="auto"/>
            </w:tcBorders>
            <w:vAlign w:val="center"/>
            <w:hideMark/>
          </w:tcPr>
          <w:p w14:paraId="5F82C07F"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361FC3F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7BAECAC6"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14:paraId="7BA61685"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2DBAF19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77D3F344"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192872B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FC67A0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3C442F5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1ED808E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60DB1F0C"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 w:type="pct"/>
            <w:tcBorders>
              <w:top w:val="nil"/>
              <w:left w:val="nil"/>
              <w:bottom w:val="nil"/>
              <w:right w:val="nil"/>
            </w:tcBorders>
            <w:noWrap/>
            <w:vAlign w:val="bottom"/>
            <w:hideMark/>
          </w:tcPr>
          <w:p w14:paraId="5142FCFB" w14:textId="77777777" w:rsidR="00867128" w:rsidRPr="00867128" w:rsidRDefault="00867128" w:rsidP="00867128">
            <w:pPr>
              <w:spacing w:after="0" w:line="240" w:lineRule="auto"/>
              <w:jc w:val="center"/>
              <w:rPr>
                <w:rFonts w:ascii="Times New Roman" w:eastAsia="Times New Roman" w:hAnsi="Times New Roman" w:cs="Times New Roman"/>
                <w:b/>
                <w:bCs/>
                <w:color w:val="000000"/>
                <w:sz w:val="20"/>
                <w:szCs w:val="20"/>
                <w:lang w:val="sk-SK"/>
              </w:rPr>
            </w:pPr>
          </w:p>
        </w:tc>
      </w:tr>
      <w:tr w:rsidR="00867128" w:rsidRPr="00867128" w14:paraId="4F98EB49" w14:textId="77777777" w:rsidTr="00D12078">
        <w:trPr>
          <w:trHeight w:val="25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3E32800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3267572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2" w:type="pct"/>
            <w:vMerge/>
            <w:tcBorders>
              <w:top w:val="single" w:sz="4" w:space="0" w:color="auto"/>
              <w:left w:val="single" w:sz="4" w:space="0" w:color="auto"/>
              <w:bottom w:val="single" w:sz="4" w:space="0" w:color="000000"/>
              <w:right w:val="single" w:sz="4" w:space="0" w:color="auto"/>
            </w:tcBorders>
            <w:vAlign w:val="center"/>
            <w:hideMark/>
          </w:tcPr>
          <w:p w14:paraId="41864FC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58AE4C85"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31BA670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14:paraId="570E5F4A"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5D6A702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575C5816"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0CAC236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42D5FC7B"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2643D606"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137667C5"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40779DE6"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 w:type="pct"/>
            <w:tcBorders>
              <w:top w:val="nil"/>
              <w:left w:val="nil"/>
              <w:bottom w:val="nil"/>
              <w:right w:val="nil"/>
            </w:tcBorders>
            <w:noWrap/>
            <w:vAlign w:val="bottom"/>
            <w:hideMark/>
          </w:tcPr>
          <w:p w14:paraId="47F15646"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2B7BF1B9" w14:textId="77777777" w:rsidTr="00D12078">
        <w:trPr>
          <w:trHeight w:val="25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3B4B573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545CAC6B"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2" w:type="pct"/>
            <w:vMerge/>
            <w:tcBorders>
              <w:top w:val="single" w:sz="4" w:space="0" w:color="auto"/>
              <w:left w:val="single" w:sz="4" w:space="0" w:color="auto"/>
              <w:bottom w:val="single" w:sz="4" w:space="0" w:color="000000"/>
              <w:right w:val="single" w:sz="4" w:space="0" w:color="auto"/>
            </w:tcBorders>
            <w:vAlign w:val="center"/>
            <w:hideMark/>
          </w:tcPr>
          <w:p w14:paraId="024F78D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3DDC70A8"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4CDAA39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14:paraId="7AC3B2EC"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40B3EF5C"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51F27E5A"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5EE62C0B"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F348AAC"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5DB8B8C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1296AC4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395ADEEE"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 w:type="pct"/>
            <w:tcBorders>
              <w:top w:val="nil"/>
              <w:left w:val="nil"/>
              <w:bottom w:val="nil"/>
              <w:right w:val="nil"/>
            </w:tcBorders>
            <w:noWrap/>
            <w:vAlign w:val="bottom"/>
            <w:hideMark/>
          </w:tcPr>
          <w:p w14:paraId="6E271578"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1A94F6FB" w14:textId="77777777" w:rsidTr="00D12078">
        <w:trPr>
          <w:trHeight w:val="25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0CCB9EBB"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7A951ECF"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2" w:type="pct"/>
            <w:vMerge/>
            <w:tcBorders>
              <w:top w:val="single" w:sz="4" w:space="0" w:color="auto"/>
              <w:left w:val="single" w:sz="4" w:space="0" w:color="auto"/>
              <w:bottom w:val="single" w:sz="4" w:space="0" w:color="000000"/>
              <w:right w:val="single" w:sz="4" w:space="0" w:color="auto"/>
            </w:tcBorders>
            <w:vAlign w:val="center"/>
            <w:hideMark/>
          </w:tcPr>
          <w:p w14:paraId="45CBD1DA"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373E6C5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70CF1EC4"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14:paraId="54DC4B4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223FAE7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0013F6E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18F2B05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163BF9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5AB9DE03"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2786FEC5"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00E891B4"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 w:type="pct"/>
            <w:tcBorders>
              <w:top w:val="nil"/>
              <w:left w:val="nil"/>
              <w:bottom w:val="nil"/>
              <w:right w:val="nil"/>
            </w:tcBorders>
            <w:noWrap/>
            <w:vAlign w:val="bottom"/>
            <w:hideMark/>
          </w:tcPr>
          <w:p w14:paraId="752A5A76"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5B75C8C3" w14:textId="77777777" w:rsidTr="00D12078">
        <w:trPr>
          <w:trHeight w:val="25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6D435CD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848" w:type="pct"/>
            <w:vMerge/>
            <w:tcBorders>
              <w:top w:val="single" w:sz="4" w:space="0" w:color="auto"/>
              <w:left w:val="single" w:sz="4" w:space="0" w:color="auto"/>
              <w:bottom w:val="single" w:sz="4" w:space="0" w:color="auto"/>
              <w:right w:val="single" w:sz="4" w:space="0" w:color="auto"/>
            </w:tcBorders>
            <w:vAlign w:val="center"/>
            <w:hideMark/>
          </w:tcPr>
          <w:p w14:paraId="4C4D9AB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2" w:type="pct"/>
            <w:vMerge/>
            <w:tcBorders>
              <w:top w:val="single" w:sz="4" w:space="0" w:color="auto"/>
              <w:left w:val="single" w:sz="4" w:space="0" w:color="auto"/>
              <w:bottom w:val="single" w:sz="4" w:space="0" w:color="000000"/>
              <w:right w:val="single" w:sz="4" w:space="0" w:color="auto"/>
            </w:tcBorders>
            <w:vAlign w:val="center"/>
            <w:hideMark/>
          </w:tcPr>
          <w:p w14:paraId="58354D00"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3" w:type="pct"/>
            <w:vMerge/>
            <w:tcBorders>
              <w:top w:val="single" w:sz="4" w:space="0" w:color="auto"/>
              <w:left w:val="single" w:sz="4" w:space="0" w:color="auto"/>
              <w:bottom w:val="single" w:sz="4" w:space="0" w:color="000000"/>
              <w:right w:val="single" w:sz="4" w:space="0" w:color="auto"/>
            </w:tcBorders>
            <w:vAlign w:val="center"/>
            <w:hideMark/>
          </w:tcPr>
          <w:p w14:paraId="0FD7CFC5"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125" w:type="pct"/>
            <w:vMerge/>
            <w:tcBorders>
              <w:top w:val="single" w:sz="4" w:space="0" w:color="auto"/>
              <w:left w:val="single" w:sz="4" w:space="0" w:color="auto"/>
              <w:bottom w:val="single" w:sz="4" w:space="0" w:color="auto"/>
              <w:right w:val="single" w:sz="4" w:space="0" w:color="auto"/>
            </w:tcBorders>
            <w:vAlign w:val="center"/>
            <w:hideMark/>
          </w:tcPr>
          <w:p w14:paraId="654A7914"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189" w:type="pct"/>
            <w:vMerge/>
            <w:tcBorders>
              <w:top w:val="single" w:sz="4" w:space="0" w:color="auto"/>
              <w:left w:val="single" w:sz="4" w:space="0" w:color="auto"/>
              <w:bottom w:val="single" w:sz="4" w:space="0" w:color="auto"/>
              <w:right w:val="single" w:sz="4" w:space="0" w:color="auto"/>
            </w:tcBorders>
            <w:vAlign w:val="center"/>
            <w:hideMark/>
          </w:tcPr>
          <w:p w14:paraId="7513DD2A"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7" w:type="pct"/>
            <w:vMerge/>
            <w:tcBorders>
              <w:top w:val="single" w:sz="4" w:space="0" w:color="auto"/>
              <w:left w:val="single" w:sz="4" w:space="0" w:color="auto"/>
              <w:bottom w:val="single" w:sz="4" w:space="0" w:color="auto"/>
              <w:right w:val="single" w:sz="4" w:space="0" w:color="auto"/>
            </w:tcBorders>
            <w:vAlign w:val="center"/>
            <w:hideMark/>
          </w:tcPr>
          <w:p w14:paraId="1618797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43F9732C"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53C432C1"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28DBF2CD"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18FE7067"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355" w:type="pct"/>
            <w:vMerge/>
            <w:tcBorders>
              <w:top w:val="single" w:sz="4" w:space="0" w:color="auto"/>
              <w:left w:val="single" w:sz="4" w:space="0" w:color="auto"/>
              <w:bottom w:val="single" w:sz="4" w:space="0" w:color="auto"/>
              <w:right w:val="single" w:sz="4" w:space="0" w:color="auto"/>
            </w:tcBorders>
            <w:vAlign w:val="center"/>
            <w:hideMark/>
          </w:tcPr>
          <w:p w14:paraId="742ACF4B"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64" w:type="pct"/>
            <w:vMerge/>
            <w:tcBorders>
              <w:top w:val="single" w:sz="4" w:space="0" w:color="auto"/>
              <w:left w:val="single" w:sz="4" w:space="0" w:color="auto"/>
              <w:bottom w:val="single" w:sz="4" w:space="0" w:color="auto"/>
              <w:right w:val="single" w:sz="4" w:space="0" w:color="auto"/>
            </w:tcBorders>
            <w:vAlign w:val="center"/>
            <w:hideMark/>
          </w:tcPr>
          <w:p w14:paraId="295F7313" w14:textId="77777777" w:rsidR="00867128" w:rsidRPr="00867128" w:rsidRDefault="00867128" w:rsidP="00867128">
            <w:pPr>
              <w:spacing w:after="0" w:line="240" w:lineRule="auto"/>
              <w:rPr>
                <w:rFonts w:ascii="Times New Roman" w:eastAsia="Times New Roman" w:hAnsi="Times New Roman" w:cs="Times New Roman"/>
                <w:b/>
                <w:bCs/>
                <w:color w:val="000000"/>
                <w:sz w:val="20"/>
                <w:szCs w:val="20"/>
                <w:lang w:val="sk-SK"/>
              </w:rPr>
            </w:pPr>
          </w:p>
        </w:tc>
        <w:tc>
          <w:tcPr>
            <w:tcW w:w="28" w:type="pct"/>
            <w:tcBorders>
              <w:top w:val="nil"/>
              <w:left w:val="nil"/>
              <w:bottom w:val="nil"/>
              <w:right w:val="nil"/>
            </w:tcBorders>
            <w:noWrap/>
            <w:vAlign w:val="bottom"/>
            <w:hideMark/>
          </w:tcPr>
          <w:p w14:paraId="4DCE5912"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D12078" w:rsidRPr="00867128" w14:paraId="4F5C9BCE" w14:textId="77777777" w:rsidTr="00D12078">
        <w:trPr>
          <w:trHeight w:val="735"/>
        </w:trPr>
        <w:tc>
          <w:tcPr>
            <w:tcW w:w="168" w:type="pct"/>
            <w:tcBorders>
              <w:top w:val="nil"/>
              <w:left w:val="single" w:sz="4" w:space="0" w:color="auto"/>
              <w:bottom w:val="single" w:sz="4" w:space="0" w:color="auto"/>
              <w:right w:val="single" w:sz="4" w:space="0" w:color="auto"/>
            </w:tcBorders>
            <w:vAlign w:val="center"/>
            <w:hideMark/>
          </w:tcPr>
          <w:p w14:paraId="17A910BA"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w:t>
            </w:r>
          </w:p>
        </w:tc>
        <w:tc>
          <w:tcPr>
            <w:tcW w:w="848" w:type="pct"/>
            <w:tcBorders>
              <w:top w:val="nil"/>
              <w:left w:val="nil"/>
              <w:bottom w:val="single" w:sz="4" w:space="0" w:color="auto"/>
              <w:right w:val="single" w:sz="4" w:space="0" w:color="auto"/>
            </w:tcBorders>
            <w:vAlign w:val="center"/>
            <w:hideMark/>
          </w:tcPr>
          <w:p w14:paraId="4BF373E8"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Vypustenie povinnosti predkladať na posúdenie návrh na odstraňovanie azbestu a materiálov obsahujúcich azbest zo stavieb </w:t>
            </w:r>
          </w:p>
        </w:tc>
        <w:tc>
          <w:tcPr>
            <w:tcW w:w="352" w:type="pct"/>
            <w:tcBorders>
              <w:top w:val="nil"/>
              <w:left w:val="nil"/>
              <w:bottom w:val="single" w:sz="4" w:space="0" w:color="auto"/>
              <w:right w:val="single" w:sz="4" w:space="0" w:color="auto"/>
            </w:tcBorders>
            <w:vAlign w:val="center"/>
            <w:hideMark/>
          </w:tcPr>
          <w:p w14:paraId="55B2664D"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návrh zákona</w:t>
            </w:r>
          </w:p>
        </w:tc>
        <w:tc>
          <w:tcPr>
            <w:tcW w:w="353" w:type="pct"/>
            <w:tcBorders>
              <w:top w:val="nil"/>
              <w:left w:val="nil"/>
              <w:bottom w:val="single" w:sz="4" w:space="0" w:color="auto"/>
              <w:right w:val="single" w:sz="4" w:space="0" w:color="auto"/>
            </w:tcBorders>
            <w:vAlign w:val="center"/>
            <w:hideMark/>
          </w:tcPr>
          <w:p w14:paraId="380B6DEB"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41</w:t>
            </w:r>
          </w:p>
        </w:tc>
        <w:tc>
          <w:tcPr>
            <w:tcW w:w="1125" w:type="pct"/>
            <w:tcBorders>
              <w:top w:val="nil"/>
              <w:left w:val="nil"/>
              <w:bottom w:val="single" w:sz="4" w:space="0" w:color="auto"/>
              <w:right w:val="single" w:sz="4" w:space="0" w:color="auto"/>
            </w:tcBorders>
            <w:vAlign w:val="center"/>
            <w:hideMark/>
          </w:tcPr>
          <w:p w14:paraId="298490F6"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5DB9F6DF"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4240AA1E"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Stavebný priemysel</w:t>
            </w:r>
          </w:p>
        </w:tc>
        <w:tc>
          <w:tcPr>
            <w:tcW w:w="204" w:type="pct"/>
            <w:tcBorders>
              <w:top w:val="nil"/>
              <w:left w:val="nil"/>
              <w:bottom w:val="single" w:sz="4" w:space="0" w:color="auto"/>
              <w:right w:val="single" w:sz="4" w:space="0" w:color="auto"/>
            </w:tcBorders>
            <w:vAlign w:val="center"/>
            <w:hideMark/>
          </w:tcPr>
          <w:p w14:paraId="45CB2A53"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476 </w:t>
            </w:r>
          </w:p>
        </w:tc>
        <w:tc>
          <w:tcPr>
            <w:tcW w:w="222" w:type="pct"/>
            <w:tcBorders>
              <w:top w:val="nil"/>
              <w:left w:val="nil"/>
              <w:bottom w:val="single" w:sz="4" w:space="0" w:color="auto"/>
              <w:right w:val="single" w:sz="4" w:space="0" w:color="auto"/>
            </w:tcBorders>
            <w:shd w:val="clear" w:color="000000" w:fill="FFFFFF"/>
            <w:vAlign w:val="center"/>
            <w:hideMark/>
          </w:tcPr>
          <w:p w14:paraId="1E237B6F"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48" w:type="pct"/>
            <w:tcBorders>
              <w:top w:val="nil"/>
              <w:left w:val="nil"/>
              <w:bottom w:val="single" w:sz="4" w:space="0" w:color="auto"/>
              <w:right w:val="single" w:sz="4" w:space="0" w:color="auto"/>
            </w:tcBorders>
            <w:vAlign w:val="center"/>
            <w:hideMark/>
          </w:tcPr>
          <w:p w14:paraId="52431D8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31 654</w:t>
            </w:r>
          </w:p>
        </w:tc>
        <w:tc>
          <w:tcPr>
            <w:tcW w:w="356" w:type="pct"/>
            <w:tcBorders>
              <w:top w:val="nil"/>
              <w:left w:val="nil"/>
              <w:bottom w:val="single" w:sz="4" w:space="0" w:color="auto"/>
              <w:right w:val="single" w:sz="4" w:space="0" w:color="auto"/>
            </w:tcBorders>
            <w:vAlign w:val="center"/>
            <w:hideMark/>
          </w:tcPr>
          <w:p w14:paraId="73D0937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Out (znižuje náklady)</w:t>
            </w:r>
          </w:p>
        </w:tc>
        <w:tc>
          <w:tcPr>
            <w:tcW w:w="355" w:type="pct"/>
            <w:tcBorders>
              <w:top w:val="nil"/>
              <w:left w:val="nil"/>
              <w:bottom w:val="single" w:sz="4" w:space="0" w:color="auto"/>
              <w:right w:val="single" w:sz="4" w:space="0" w:color="auto"/>
            </w:tcBorders>
            <w:vAlign w:val="center"/>
            <w:hideMark/>
          </w:tcPr>
          <w:p w14:paraId="23B62AC0"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31 654</w:t>
            </w:r>
          </w:p>
        </w:tc>
        <w:tc>
          <w:tcPr>
            <w:tcW w:w="264" w:type="pct"/>
            <w:tcBorders>
              <w:top w:val="nil"/>
              <w:left w:val="nil"/>
              <w:bottom w:val="single" w:sz="4" w:space="0" w:color="auto"/>
              <w:right w:val="single" w:sz="4" w:space="0" w:color="auto"/>
            </w:tcBorders>
            <w:vAlign w:val="center"/>
            <w:hideMark/>
          </w:tcPr>
          <w:p w14:paraId="1E92DE98"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037234B4"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63E8E07F" w14:textId="77777777" w:rsidTr="00D12078">
        <w:trPr>
          <w:trHeight w:val="3795"/>
        </w:trPr>
        <w:tc>
          <w:tcPr>
            <w:tcW w:w="168" w:type="pct"/>
            <w:tcBorders>
              <w:top w:val="nil"/>
              <w:left w:val="single" w:sz="4" w:space="0" w:color="auto"/>
              <w:bottom w:val="single" w:sz="4" w:space="0" w:color="auto"/>
              <w:right w:val="single" w:sz="4" w:space="0" w:color="auto"/>
            </w:tcBorders>
            <w:vAlign w:val="center"/>
            <w:hideMark/>
          </w:tcPr>
          <w:p w14:paraId="2ED21371"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lastRenderedPageBreak/>
              <w:t>2</w:t>
            </w:r>
          </w:p>
        </w:tc>
        <w:tc>
          <w:tcPr>
            <w:tcW w:w="848" w:type="pct"/>
            <w:tcBorders>
              <w:top w:val="nil"/>
              <w:left w:val="nil"/>
              <w:bottom w:val="single" w:sz="4" w:space="0" w:color="auto"/>
              <w:right w:val="single" w:sz="4" w:space="0" w:color="auto"/>
            </w:tcBorders>
            <w:vAlign w:val="center"/>
            <w:hideMark/>
          </w:tcPr>
          <w:p w14:paraId="4C40953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Vypustenie povinnosti zamestnávateľa vypracovať prevádzkový poriadok z dôvodu záťaže teplom a chladom</w:t>
            </w:r>
          </w:p>
        </w:tc>
        <w:tc>
          <w:tcPr>
            <w:tcW w:w="352" w:type="pct"/>
            <w:tcBorders>
              <w:top w:val="nil"/>
              <w:left w:val="nil"/>
              <w:bottom w:val="single" w:sz="4" w:space="0" w:color="auto"/>
              <w:right w:val="single" w:sz="4" w:space="0" w:color="auto"/>
            </w:tcBorders>
            <w:vAlign w:val="center"/>
            <w:hideMark/>
          </w:tcPr>
          <w:p w14:paraId="64A93D8A"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návrh zákona</w:t>
            </w:r>
          </w:p>
        </w:tc>
        <w:tc>
          <w:tcPr>
            <w:tcW w:w="353" w:type="pct"/>
            <w:tcBorders>
              <w:top w:val="nil"/>
              <w:left w:val="nil"/>
              <w:bottom w:val="single" w:sz="4" w:space="0" w:color="auto"/>
              <w:right w:val="single" w:sz="4" w:space="0" w:color="auto"/>
            </w:tcBorders>
            <w:vAlign w:val="center"/>
            <w:hideMark/>
          </w:tcPr>
          <w:p w14:paraId="4BAAB9D0"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37 ods. 4</w:t>
            </w:r>
          </w:p>
        </w:tc>
        <w:tc>
          <w:tcPr>
            <w:tcW w:w="1125" w:type="pct"/>
            <w:tcBorders>
              <w:top w:val="nil"/>
              <w:left w:val="nil"/>
              <w:bottom w:val="single" w:sz="4" w:space="0" w:color="auto"/>
              <w:right w:val="single" w:sz="4" w:space="0" w:color="auto"/>
            </w:tcBorders>
            <w:vAlign w:val="center"/>
            <w:hideMark/>
          </w:tcPr>
          <w:p w14:paraId="6FA742DE"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7EBD2479"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392D307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Fyzické osoby - podnikatelia a právnické osoby, ktorí boli povinní vypracovať prevádzkový poriadok pri práci z dôvodu záťaže teplom alebo záťaže chladom z technológie</w:t>
            </w:r>
          </w:p>
        </w:tc>
        <w:tc>
          <w:tcPr>
            <w:tcW w:w="204" w:type="pct"/>
            <w:tcBorders>
              <w:top w:val="nil"/>
              <w:left w:val="nil"/>
              <w:bottom w:val="single" w:sz="4" w:space="0" w:color="auto"/>
              <w:right w:val="single" w:sz="4" w:space="0" w:color="auto"/>
            </w:tcBorders>
            <w:vAlign w:val="center"/>
            <w:hideMark/>
          </w:tcPr>
          <w:p w14:paraId="15A91E79"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30 </w:t>
            </w:r>
          </w:p>
        </w:tc>
        <w:tc>
          <w:tcPr>
            <w:tcW w:w="222" w:type="pct"/>
            <w:tcBorders>
              <w:top w:val="nil"/>
              <w:left w:val="nil"/>
              <w:bottom w:val="single" w:sz="4" w:space="0" w:color="auto"/>
              <w:right w:val="single" w:sz="4" w:space="0" w:color="auto"/>
            </w:tcBorders>
            <w:vAlign w:val="center"/>
            <w:hideMark/>
          </w:tcPr>
          <w:p w14:paraId="1402C840"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48" w:type="pct"/>
            <w:tcBorders>
              <w:top w:val="nil"/>
              <w:left w:val="nil"/>
              <w:bottom w:val="single" w:sz="4" w:space="0" w:color="auto"/>
              <w:right w:val="single" w:sz="4" w:space="0" w:color="auto"/>
            </w:tcBorders>
            <w:vAlign w:val="center"/>
            <w:hideMark/>
          </w:tcPr>
          <w:p w14:paraId="49C8ECE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5 400</w:t>
            </w:r>
          </w:p>
        </w:tc>
        <w:tc>
          <w:tcPr>
            <w:tcW w:w="356" w:type="pct"/>
            <w:tcBorders>
              <w:top w:val="nil"/>
              <w:left w:val="nil"/>
              <w:bottom w:val="single" w:sz="4" w:space="0" w:color="auto"/>
              <w:right w:val="single" w:sz="4" w:space="0" w:color="auto"/>
            </w:tcBorders>
            <w:vAlign w:val="center"/>
            <w:hideMark/>
          </w:tcPr>
          <w:p w14:paraId="3C346555"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Out (znižuje náklady)</w:t>
            </w:r>
          </w:p>
        </w:tc>
        <w:tc>
          <w:tcPr>
            <w:tcW w:w="355" w:type="pct"/>
            <w:tcBorders>
              <w:top w:val="nil"/>
              <w:left w:val="nil"/>
              <w:bottom w:val="single" w:sz="4" w:space="0" w:color="auto"/>
              <w:right w:val="single" w:sz="4" w:space="0" w:color="auto"/>
            </w:tcBorders>
            <w:vAlign w:val="center"/>
            <w:hideMark/>
          </w:tcPr>
          <w:p w14:paraId="41202F71"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5 400</w:t>
            </w:r>
          </w:p>
        </w:tc>
        <w:tc>
          <w:tcPr>
            <w:tcW w:w="264" w:type="pct"/>
            <w:tcBorders>
              <w:top w:val="nil"/>
              <w:left w:val="nil"/>
              <w:bottom w:val="single" w:sz="4" w:space="0" w:color="auto"/>
              <w:right w:val="single" w:sz="4" w:space="0" w:color="auto"/>
            </w:tcBorders>
            <w:vAlign w:val="center"/>
            <w:hideMark/>
          </w:tcPr>
          <w:p w14:paraId="0AC8D96C"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5649AFC4"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78614454" w14:textId="77777777" w:rsidTr="00D12078">
        <w:trPr>
          <w:trHeight w:val="1785"/>
        </w:trPr>
        <w:tc>
          <w:tcPr>
            <w:tcW w:w="168" w:type="pct"/>
            <w:tcBorders>
              <w:top w:val="nil"/>
              <w:left w:val="single" w:sz="4" w:space="0" w:color="auto"/>
              <w:bottom w:val="single" w:sz="4" w:space="0" w:color="auto"/>
              <w:right w:val="single" w:sz="4" w:space="0" w:color="auto"/>
            </w:tcBorders>
            <w:vAlign w:val="center"/>
            <w:hideMark/>
          </w:tcPr>
          <w:p w14:paraId="77F9505C"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w:t>
            </w:r>
          </w:p>
        </w:tc>
        <w:tc>
          <w:tcPr>
            <w:tcW w:w="848" w:type="pct"/>
            <w:tcBorders>
              <w:top w:val="nil"/>
              <w:left w:val="nil"/>
              <w:bottom w:val="single" w:sz="4" w:space="0" w:color="auto"/>
              <w:right w:val="single" w:sz="4" w:space="0" w:color="auto"/>
            </w:tcBorders>
            <w:vAlign w:val="center"/>
            <w:hideMark/>
          </w:tcPr>
          <w:p w14:paraId="328CCCAA"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Vypustenie povinnosti vypracovať prevádzkový poriadok z dôvodu fyzickej záťaže</w:t>
            </w:r>
          </w:p>
        </w:tc>
        <w:tc>
          <w:tcPr>
            <w:tcW w:w="352" w:type="pct"/>
            <w:tcBorders>
              <w:top w:val="nil"/>
              <w:left w:val="nil"/>
              <w:bottom w:val="single" w:sz="4" w:space="0" w:color="auto"/>
              <w:right w:val="single" w:sz="4" w:space="0" w:color="auto"/>
            </w:tcBorders>
            <w:vAlign w:val="center"/>
            <w:hideMark/>
          </w:tcPr>
          <w:p w14:paraId="5E94575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návrh zákona</w:t>
            </w:r>
          </w:p>
        </w:tc>
        <w:tc>
          <w:tcPr>
            <w:tcW w:w="353" w:type="pct"/>
            <w:tcBorders>
              <w:top w:val="nil"/>
              <w:left w:val="nil"/>
              <w:bottom w:val="single" w:sz="4" w:space="0" w:color="auto"/>
              <w:right w:val="single" w:sz="4" w:space="0" w:color="auto"/>
            </w:tcBorders>
            <w:vAlign w:val="center"/>
            <w:hideMark/>
          </w:tcPr>
          <w:p w14:paraId="7BE6BC2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38</w:t>
            </w:r>
          </w:p>
        </w:tc>
        <w:tc>
          <w:tcPr>
            <w:tcW w:w="1125" w:type="pct"/>
            <w:tcBorders>
              <w:top w:val="nil"/>
              <w:left w:val="nil"/>
              <w:bottom w:val="single" w:sz="4" w:space="0" w:color="auto"/>
              <w:right w:val="single" w:sz="4" w:space="0" w:color="auto"/>
            </w:tcBorders>
            <w:vAlign w:val="center"/>
            <w:hideMark/>
          </w:tcPr>
          <w:p w14:paraId="5DCD1C6D"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20C86FF8"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447C45ED"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FO-P a PO, ktorých zamestnanci vykonávajú rizikovú prácu s faktorom fyzická záťaž</w:t>
            </w:r>
          </w:p>
        </w:tc>
        <w:tc>
          <w:tcPr>
            <w:tcW w:w="204" w:type="pct"/>
            <w:tcBorders>
              <w:top w:val="nil"/>
              <w:left w:val="nil"/>
              <w:bottom w:val="single" w:sz="4" w:space="0" w:color="auto"/>
              <w:right w:val="single" w:sz="4" w:space="0" w:color="auto"/>
            </w:tcBorders>
            <w:vAlign w:val="center"/>
            <w:hideMark/>
          </w:tcPr>
          <w:p w14:paraId="6E935DDA"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70 </w:t>
            </w:r>
          </w:p>
        </w:tc>
        <w:tc>
          <w:tcPr>
            <w:tcW w:w="222" w:type="pct"/>
            <w:tcBorders>
              <w:top w:val="nil"/>
              <w:left w:val="nil"/>
              <w:bottom w:val="single" w:sz="4" w:space="0" w:color="auto"/>
              <w:right w:val="single" w:sz="4" w:space="0" w:color="auto"/>
            </w:tcBorders>
            <w:vAlign w:val="center"/>
            <w:hideMark/>
          </w:tcPr>
          <w:p w14:paraId="26845C59"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354</w:t>
            </w:r>
          </w:p>
        </w:tc>
        <w:tc>
          <w:tcPr>
            <w:tcW w:w="248" w:type="pct"/>
            <w:tcBorders>
              <w:top w:val="nil"/>
              <w:left w:val="nil"/>
              <w:bottom w:val="single" w:sz="4" w:space="0" w:color="auto"/>
              <w:right w:val="single" w:sz="4" w:space="0" w:color="auto"/>
            </w:tcBorders>
            <w:vAlign w:val="center"/>
            <w:hideMark/>
          </w:tcPr>
          <w:p w14:paraId="3ED78864"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24 780</w:t>
            </w:r>
          </w:p>
        </w:tc>
        <w:tc>
          <w:tcPr>
            <w:tcW w:w="356" w:type="pct"/>
            <w:tcBorders>
              <w:top w:val="nil"/>
              <w:left w:val="nil"/>
              <w:bottom w:val="single" w:sz="4" w:space="0" w:color="auto"/>
              <w:right w:val="single" w:sz="4" w:space="0" w:color="auto"/>
            </w:tcBorders>
            <w:vAlign w:val="center"/>
            <w:hideMark/>
          </w:tcPr>
          <w:p w14:paraId="6D9837CC"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Out (znižuje náklady)</w:t>
            </w:r>
          </w:p>
        </w:tc>
        <w:tc>
          <w:tcPr>
            <w:tcW w:w="355" w:type="pct"/>
            <w:tcBorders>
              <w:top w:val="nil"/>
              <w:left w:val="nil"/>
              <w:bottom w:val="single" w:sz="4" w:space="0" w:color="auto"/>
              <w:right w:val="single" w:sz="4" w:space="0" w:color="auto"/>
            </w:tcBorders>
            <w:vAlign w:val="center"/>
            <w:hideMark/>
          </w:tcPr>
          <w:p w14:paraId="03A1744A"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24 780</w:t>
            </w:r>
          </w:p>
        </w:tc>
        <w:tc>
          <w:tcPr>
            <w:tcW w:w="264" w:type="pct"/>
            <w:tcBorders>
              <w:top w:val="nil"/>
              <w:left w:val="nil"/>
              <w:bottom w:val="single" w:sz="4" w:space="0" w:color="auto"/>
              <w:right w:val="single" w:sz="4" w:space="0" w:color="auto"/>
            </w:tcBorders>
            <w:vAlign w:val="center"/>
            <w:hideMark/>
          </w:tcPr>
          <w:p w14:paraId="63F6F301"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13D54914"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404325F4" w14:textId="77777777" w:rsidTr="00D12078">
        <w:trPr>
          <w:trHeight w:val="1365"/>
        </w:trPr>
        <w:tc>
          <w:tcPr>
            <w:tcW w:w="168" w:type="pct"/>
            <w:tcBorders>
              <w:top w:val="nil"/>
              <w:left w:val="single" w:sz="4" w:space="0" w:color="auto"/>
              <w:bottom w:val="single" w:sz="4" w:space="0" w:color="auto"/>
              <w:right w:val="single" w:sz="4" w:space="0" w:color="auto"/>
            </w:tcBorders>
            <w:vAlign w:val="center"/>
            <w:hideMark/>
          </w:tcPr>
          <w:p w14:paraId="46872FF8"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4</w:t>
            </w:r>
          </w:p>
        </w:tc>
        <w:tc>
          <w:tcPr>
            <w:tcW w:w="848" w:type="pct"/>
            <w:tcBorders>
              <w:top w:val="nil"/>
              <w:left w:val="nil"/>
              <w:bottom w:val="single" w:sz="4" w:space="0" w:color="auto"/>
              <w:right w:val="single" w:sz="4" w:space="0" w:color="auto"/>
            </w:tcBorders>
            <w:vAlign w:val="center"/>
            <w:hideMark/>
          </w:tcPr>
          <w:p w14:paraId="4B4814D6"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Zníženie nákladov o správny poplatok za podanie žiadostí o vydanie rozhodnutia pre organizátorov zotavovacích podujatí</w:t>
            </w:r>
          </w:p>
        </w:tc>
        <w:tc>
          <w:tcPr>
            <w:tcW w:w="352" w:type="pct"/>
            <w:tcBorders>
              <w:top w:val="nil"/>
              <w:left w:val="nil"/>
              <w:bottom w:val="single" w:sz="4" w:space="0" w:color="auto"/>
              <w:right w:val="single" w:sz="4" w:space="0" w:color="auto"/>
            </w:tcBorders>
            <w:vAlign w:val="center"/>
            <w:hideMark/>
          </w:tcPr>
          <w:p w14:paraId="2754241E"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návrh zákona</w:t>
            </w:r>
          </w:p>
        </w:tc>
        <w:tc>
          <w:tcPr>
            <w:tcW w:w="353" w:type="pct"/>
            <w:tcBorders>
              <w:top w:val="nil"/>
              <w:left w:val="nil"/>
              <w:bottom w:val="single" w:sz="4" w:space="0" w:color="auto"/>
              <w:right w:val="single" w:sz="4" w:space="0" w:color="auto"/>
            </w:tcBorders>
            <w:vAlign w:val="center"/>
            <w:hideMark/>
          </w:tcPr>
          <w:p w14:paraId="61FA6C96"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25</w:t>
            </w:r>
          </w:p>
        </w:tc>
        <w:tc>
          <w:tcPr>
            <w:tcW w:w="1125" w:type="pct"/>
            <w:tcBorders>
              <w:top w:val="nil"/>
              <w:left w:val="nil"/>
              <w:bottom w:val="single" w:sz="4" w:space="0" w:color="auto"/>
              <w:right w:val="single" w:sz="4" w:space="0" w:color="auto"/>
            </w:tcBorders>
            <w:vAlign w:val="center"/>
            <w:hideMark/>
          </w:tcPr>
          <w:p w14:paraId="5F24A097"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1B31A27D"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5A3362E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FO-P a PO, ktoré organizujú zotavovacie podujatia</w:t>
            </w:r>
          </w:p>
        </w:tc>
        <w:tc>
          <w:tcPr>
            <w:tcW w:w="204" w:type="pct"/>
            <w:tcBorders>
              <w:top w:val="nil"/>
              <w:left w:val="nil"/>
              <w:bottom w:val="single" w:sz="4" w:space="0" w:color="auto"/>
              <w:right w:val="single" w:sz="4" w:space="0" w:color="auto"/>
            </w:tcBorders>
            <w:vAlign w:val="center"/>
            <w:hideMark/>
          </w:tcPr>
          <w:p w14:paraId="00657144"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3 172 </w:t>
            </w:r>
          </w:p>
        </w:tc>
        <w:tc>
          <w:tcPr>
            <w:tcW w:w="222" w:type="pct"/>
            <w:tcBorders>
              <w:top w:val="nil"/>
              <w:left w:val="nil"/>
              <w:bottom w:val="single" w:sz="4" w:space="0" w:color="auto"/>
              <w:right w:val="single" w:sz="4" w:space="0" w:color="auto"/>
            </w:tcBorders>
            <w:vAlign w:val="center"/>
            <w:hideMark/>
          </w:tcPr>
          <w:p w14:paraId="4EB6E62A"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10</w:t>
            </w:r>
          </w:p>
        </w:tc>
        <w:tc>
          <w:tcPr>
            <w:tcW w:w="248" w:type="pct"/>
            <w:tcBorders>
              <w:top w:val="nil"/>
              <w:left w:val="nil"/>
              <w:bottom w:val="single" w:sz="4" w:space="0" w:color="auto"/>
              <w:right w:val="single" w:sz="4" w:space="0" w:color="auto"/>
            </w:tcBorders>
            <w:vAlign w:val="center"/>
            <w:hideMark/>
          </w:tcPr>
          <w:p w14:paraId="59A8B665"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30 134</w:t>
            </w:r>
          </w:p>
        </w:tc>
        <w:tc>
          <w:tcPr>
            <w:tcW w:w="356" w:type="pct"/>
            <w:tcBorders>
              <w:top w:val="nil"/>
              <w:left w:val="nil"/>
              <w:bottom w:val="single" w:sz="4" w:space="0" w:color="auto"/>
              <w:right w:val="single" w:sz="4" w:space="0" w:color="auto"/>
            </w:tcBorders>
            <w:vAlign w:val="center"/>
            <w:hideMark/>
          </w:tcPr>
          <w:p w14:paraId="386A207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Out (znižuje náklady)</w:t>
            </w:r>
          </w:p>
        </w:tc>
        <w:tc>
          <w:tcPr>
            <w:tcW w:w="355" w:type="pct"/>
            <w:tcBorders>
              <w:top w:val="nil"/>
              <w:left w:val="nil"/>
              <w:bottom w:val="single" w:sz="4" w:space="0" w:color="auto"/>
              <w:right w:val="single" w:sz="4" w:space="0" w:color="auto"/>
            </w:tcBorders>
            <w:vAlign w:val="center"/>
            <w:hideMark/>
          </w:tcPr>
          <w:p w14:paraId="5A6BBADC"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30 134</w:t>
            </w:r>
          </w:p>
        </w:tc>
        <w:tc>
          <w:tcPr>
            <w:tcW w:w="264" w:type="pct"/>
            <w:tcBorders>
              <w:top w:val="nil"/>
              <w:left w:val="nil"/>
              <w:bottom w:val="single" w:sz="4" w:space="0" w:color="auto"/>
              <w:right w:val="single" w:sz="4" w:space="0" w:color="auto"/>
            </w:tcBorders>
            <w:vAlign w:val="center"/>
            <w:hideMark/>
          </w:tcPr>
          <w:p w14:paraId="71EC7704"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179EC047"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75043370" w14:textId="77777777" w:rsidTr="00D12078">
        <w:trPr>
          <w:trHeight w:val="1020"/>
        </w:trPr>
        <w:tc>
          <w:tcPr>
            <w:tcW w:w="168" w:type="pct"/>
            <w:tcBorders>
              <w:top w:val="nil"/>
              <w:left w:val="single" w:sz="4" w:space="0" w:color="auto"/>
              <w:bottom w:val="single" w:sz="4" w:space="0" w:color="auto"/>
              <w:right w:val="single" w:sz="4" w:space="0" w:color="auto"/>
            </w:tcBorders>
            <w:vAlign w:val="center"/>
            <w:hideMark/>
          </w:tcPr>
          <w:p w14:paraId="6B13EA6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5</w:t>
            </w:r>
          </w:p>
        </w:tc>
        <w:tc>
          <w:tcPr>
            <w:tcW w:w="848" w:type="pct"/>
            <w:tcBorders>
              <w:top w:val="nil"/>
              <w:left w:val="nil"/>
              <w:bottom w:val="single" w:sz="4" w:space="0" w:color="auto"/>
              <w:right w:val="single" w:sz="4" w:space="0" w:color="auto"/>
            </w:tcBorders>
            <w:vAlign w:val="center"/>
            <w:hideMark/>
          </w:tcPr>
          <w:p w14:paraId="7613D59E"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Opätovné zavedenie rozhodovacej činnosti podľa  § 13 ods.4 písm. a) </w:t>
            </w:r>
            <w:r w:rsidRPr="00867128">
              <w:rPr>
                <w:rFonts w:ascii="Times New Roman" w:eastAsia="Times New Roman" w:hAnsi="Times New Roman" w:cs="Times New Roman"/>
                <w:color w:val="000000"/>
                <w:sz w:val="20"/>
                <w:szCs w:val="20"/>
                <w:lang w:val="sk-SK"/>
              </w:rPr>
              <w:lastRenderedPageBreak/>
              <w:t xml:space="preserve">zákona č. 355/2007 Z. z. pre zariadenia starostlivosti o ľudské telo na základe rozhodnutia orgánu verejného zdravotníctva </w:t>
            </w:r>
          </w:p>
        </w:tc>
        <w:tc>
          <w:tcPr>
            <w:tcW w:w="352" w:type="pct"/>
            <w:tcBorders>
              <w:top w:val="nil"/>
              <w:left w:val="nil"/>
              <w:bottom w:val="single" w:sz="4" w:space="0" w:color="auto"/>
              <w:right w:val="single" w:sz="4" w:space="0" w:color="auto"/>
            </w:tcBorders>
            <w:vAlign w:val="center"/>
            <w:hideMark/>
          </w:tcPr>
          <w:p w14:paraId="71F6FFC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lastRenderedPageBreak/>
              <w:t>návrh zákona</w:t>
            </w:r>
          </w:p>
        </w:tc>
        <w:tc>
          <w:tcPr>
            <w:tcW w:w="353" w:type="pct"/>
            <w:tcBorders>
              <w:top w:val="nil"/>
              <w:left w:val="nil"/>
              <w:bottom w:val="single" w:sz="4" w:space="0" w:color="auto"/>
              <w:right w:val="single" w:sz="4" w:space="0" w:color="auto"/>
            </w:tcBorders>
            <w:vAlign w:val="center"/>
            <w:hideMark/>
          </w:tcPr>
          <w:p w14:paraId="2BBED54D"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52 ods. 1 písm. b)</w:t>
            </w:r>
          </w:p>
        </w:tc>
        <w:tc>
          <w:tcPr>
            <w:tcW w:w="1125" w:type="pct"/>
            <w:tcBorders>
              <w:top w:val="nil"/>
              <w:left w:val="nil"/>
              <w:bottom w:val="single" w:sz="4" w:space="0" w:color="auto"/>
              <w:right w:val="single" w:sz="4" w:space="0" w:color="auto"/>
            </w:tcBorders>
            <w:vAlign w:val="center"/>
            <w:hideMark/>
          </w:tcPr>
          <w:p w14:paraId="5309AF6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359A1639"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73535774"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Prevádzkovatelia zariadení starostlivosti o ľudské telo</w:t>
            </w:r>
          </w:p>
        </w:tc>
        <w:tc>
          <w:tcPr>
            <w:tcW w:w="204" w:type="pct"/>
            <w:tcBorders>
              <w:top w:val="nil"/>
              <w:left w:val="nil"/>
              <w:bottom w:val="single" w:sz="4" w:space="0" w:color="auto"/>
              <w:right w:val="single" w:sz="4" w:space="0" w:color="auto"/>
            </w:tcBorders>
            <w:vAlign w:val="center"/>
            <w:hideMark/>
          </w:tcPr>
          <w:p w14:paraId="5F4EF9AB"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3 258 </w:t>
            </w:r>
          </w:p>
        </w:tc>
        <w:tc>
          <w:tcPr>
            <w:tcW w:w="222" w:type="pct"/>
            <w:tcBorders>
              <w:top w:val="nil"/>
              <w:left w:val="nil"/>
              <w:bottom w:val="single" w:sz="4" w:space="0" w:color="auto"/>
              <w:right w:val="single" w:sz="4" w:space="0" w:color="auto"/>
            </w:tcBorders>
            <w:vAlign w:val="center"/>
            <w:hideMark/>
          </w:tcPr>
          <w:p w14:paraId="73CD1120"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10</w:t>
            </w:r>
          </w:p>
        </w:tc>
        <w:tc>
          <w:tcPr>
            <w:tcW w:w="248" w:type="pct"/>
            <w:tcBorders>
              <w:top w:val="nil"/>
              <w:left w:val="nil"/>
              <w:bottom w:val="single" w:sz="4" w:space="0" w:color="auto"/>
              <w:right w:val="single" w:sz="4" w:space="0" w:color="auto"/>
            </w:tcBorders>
            <w:vAlign w:val="center"/>
            <w:hideMark/>
          </w:tcPr>
          <w:p w14:paraId="1D16EA1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30 951</w:t>
            </w:r>
          </w:p>
        </w:tc>
        <w:tc>
          <w:tcPr>
            <w:tcW w:w="356" w:type="pct"/>
            <w:tcBorders>
              <w:top w:val="nil"/>
              <w:left w:val="nil"/>
              <w:bottom w:val="single" w:sz="4" w:space="0" w:color="auto"/>
              <w:right w:val="single" w:sz="4" w:space="0" w:color="auto"/>
            </w:tcBorders>
            <w:vAlign w:val="center"/>
            <w:hideMark/>
          </w:tcPr>
          <w:p w14:paraId="131E6851"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In (zvyšuje náklady)</w:t>
            </w:r>
          </w:p>
        </w:tc>
        <w:tc>
          <w:tcPr>
            <w:tcW w:w="355" w:type="pct"/>
            <w:tcBorders>
              <w:top w:val="nil"/>
              <w:left w:val="nil"/>
              <w:bottom w:val="single" w:sz="4" w:space="0" w:color="auto"/>
              <w:right w:val="single" w:sz="4" w:space="0" w:color="auto"/>
            </w:tcBorders>
            <w:vAlign w:val="center"/>
            <w:hideMark/>
          </w:tcPr>
          <w:p w14:paraId="1094B29C"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30 951</w:t>
            </w:r>
          </w:p>
        </w:tc>
        <w:tc>
          <w:tcPr>
            <w:tcW w:w="264" w:type="pct"/>
            <w:tcBorders>
              <w:top w:val="nil"/>
              <w:left w:val="nil"/>
              <w:bottom w:val="single" w:sz="4" w:space="0" w:color="auto"/>
              <w:right w:val="single" w:sz="4" w:space="0" w:color="auto"/>
            </w:tcBorders>
            <w:vAlign w:val="center"/>
            <w:hideMark/>
          </w:tcPr>
          <w:p w14:paraId="3394D394"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6F85A47D"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r w:rsidR="00867128" w:rsidRPr="00867128" w14:paraId="3DA78AF0" w14:textId="77777777" w:rsidTr="00D12078">
        <w:trPr>
          <w:trHeight w:val="1950"/>
        </w:trPr>
        <w:tc>
          <w:tcPr>
            <w:tcW w:w="168" w:type="pct"/>
            <w:tcBorders>
              <w:top w:val="nil"/>
              <w:left w:val="single" w:sz="4" w:space="0" w:color="auto"/>
              <w:bottom w:val="single" w:sz="4" w:space="0" w:color="auto"/>
              <w:right w:val="single" w:sz="4" w:space="0" w:color="auto"/>
            </w:tcBorders>
            <w:vAlign w:val="center"/>
            <w:hideMark/>
          </w:tcPr>
          <w:p w14:paraId="3D363C69"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6</w:t>
            </w:r>
          </w:p>
        </w:tc>
        <w:tc>
          <w:tcPr>
            <w:tcW w:w="848" w:type="pct"/>
            <w:tcBorders>
              <w:top w:val="nil"/>
              <w:left w:val="nil"/>
              <w:bottom w:val="single" w:sz="4" w:space="0" w:color="auto"/>
              <w:right w:val="single" w:sz="4" w:space="0" w:color="auto"/>
            </w:tcBorders>
            <w:vAlign w:val="center"/>
            <w:hideMark/>
          </w:tcPr>
          <w:p w14:paraId="64B8513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Vypustenie povinnosti predkladať na posúdenie návrh na činnosti súvisiace s expozíciou karcinogénnym faktorom, mutagénnym faktorom alebo reprodukčne toxickým faktorom zaradeným do prvej kategórie </w:t>
            </w:r>
          </w:p>
        </w:tc>
        <w:tc>
          <w:tcPr>
            <w:tcW w:w="352" w:type="pct"/>
            <w:tcBorders>
              <w:top w:val="nil"/>
              <w:left w:val="nil"/>
              <w:bottom w:val="single" w:sz="4" w:space="0" w:color="auto"/>
              <w:right w:val="single" w:sz="4" w:space="0" w:color="auto"/>
            </w:tcBorders>
            <w:vAlign w:val="center"/>
            <w:hideMark/>
          </w:tcPr>
          <w:p w14:paraId="0E0FEF31"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návrh zákona</w:t>
            </w:r>
          </w:p>
        </w:tc>
        <w:tc>
          <w:tcPr>
            <w:tcW w:w="353" w:type="pct"/>
            <w:tcBorders>
              <w:top w:val="nil"/>
              <w:left w:val="nil"/>
              <w:bottom w:val="single" w:sz="4" w:space="0" w:color="auto"/>
              <w:right w:val="single" w:sz="4" w:space="0" w:color="auto"/>
            </w:tcBorders>
            <w:vAlign w:val="center"/>
            <w:hideMark/>
          </w:tcPr>
          <w:p w14:paraId="1457E03A"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13 ods. 4písm. g)</w:t>
            </w:r>
          </w:p>
        </w:tc>
        <w:tc>
          <w:tcPr>
            <w:tcW w:w="1125" w:type="pct"/>
            <w:tcBorders>
              <w:top w:val="nil"/>
              <w:left w:val="nil"/>
              <w:bottom w:val="single" w:sz="4" w:space="0" w:color="auto"/>
              <w:right w:val="single" w:sz="4" w:space="0" w:color="auto"/>
            </w:tcBorders>
            <w:vAlign w:val="center"/>
            <w:hideMark/>
          </w:tcPr>
          <w:p w14:paraId="0A41D81B"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1.SK</w:t>
            </w:r>
          </w:p>
        </w:tc>
        <w:tc>
          <w:tcPr>
            <w:tcW w:w="189" w:type="pct"/>
            <w:tcBorders>
              <w:top w:val="nil"/>
              <w:left w:val="nil"/>
              <w:bottom w:val="single" w:sz="4" w:space="0" w:color="auto"/>
              <w:right w:val="single" w:sz="4" w:space="0" w:color="auto"/>
            </w:tcBorders>
            <w:vAlign w:val="center"/>
            <w:hideMark/>
          </w:tcPr>
          <w:p w14:paraId="1B0C3EC8"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21.12.25</w:t>
            </w:r>
          </w:p>
        </w:tc>
        <w:tc>
          <w:tcPr>
            <w:tcW w:w="287" w:type="pct"/>
            <w:tcBorders>
              <w:top w:val="nil"/>
              <w:left w:val="nil"/>
              <w:bottom w:val="single" w:sz="4" w:space="0" w:color="auto"/>
              <w:right w:val="single" w:sz="4" w:space="0" w:color="auto"/>
            </w:tcBorders>
            <w:vAlign w:val="center"/>
            <w:hideMark/>
          </w:tcPr>
          <w:p w14:paraId="3FD13042"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Fyzické osoby - podnikatelia a právnické osoby, ktorých zamestnanci sú exponovaní KF, MF alebo RTF</w:t>
            </w:r>
          </w:p>
        </w:tc>
        <w:tc>
          <w:tcPr>
            <w:tcW w:w="204" w:type="pct"/>
            <w:tcBorders>
              <w:top w:val="nil"/>
              <w:left w:val="nil"/>
              <w:bottom w:val="single" w:sz="4" w:space="0" w:color="auto"/>
              <w:right w:val="single" w:sz="4" w:space="0" w:color="auto"/>
            </w:tcBorders>
            <w:vAlign w:val="center"/>
            <w:hideMark/>
          </w:tcPr>
          <w:p w14:paraId="57353741" w14:textId="77777777" w:rsidR="00867128" w:rsidRPr="00867128" w:rsidRDefault="00867128" w:rsidP="00867128">
            <w:pPr>
              <w:spacing w:after="0" w:line="240" w:lineRule="auto"/>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 xml:space="preserve">                 33 </w:t>
            </w:r>
          </w:p>
        </w:tc>
        <w:tc>
          <w:tcPr>
            <w:tcW w:w="222" w:type="pct"/>
            <w:tcBorders>
              <w:top w:val="nil"/>
              <w:left w:val="nil"/>
              <w:bottom w:val="single" w:sz="4" w:space="0" w:color="auto"/>
              <w:right w:val="single" w:sz="4" w:space="0" w:color="auto"/>
            </w:tcBorders>
            <w:vAlign w:val="center"/>
            <w:hideMark/>
          </w:tcPr>
          <w:p w14:paraId="2F95AC4E"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10</w:t>
            </w:r>
          </w:p>
        </w:tc>
        <w:tc>
          <w:tcPr>
            <w:tcW w:w="248" w:type="pct"/>
            <w:tcBorders>
              <w:top w:val="nil"/>
              <w:left w:val="nil"/>
              <w:bottom w:val="single" w:sz="4" w:space="0" w:color="auto"/>
              <w:right w:val="single" w:sz="4" w:space="0" w:color="auto"/>
            </w:tcBorders>
            <w:vAlign w:val="center"/>
            <w:hideMark/>
          </w:tcPr>
          <w:p w14:paraId="1BFFF13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314</w:t>
            </w:r>
          </w:p>
        </w:tc>
        <w:tc>
          <w:tcPr>
            <w:tcW w:w="356" w:type="pct"/>
            <w:tcBorders>
              <w:top w:val="nil"/>
              <w:left w:val="nil"/>
              <w:bottom w:val="single" w:sz="4" w:space="0" w:color="auto"/>
              <w:right w:val="single" w:sz="4" w:space="0" w:color="auto"/>
            </w:tcBorders>
            <w:vAlign w:val="center"/>
            <w:hideMark/>
          </w:tcPr>
          <w:p w14:paraId="44D4E23B"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Out (znižuje náklady)</w:t>
            </w:r>
          </w:p>
        </w:tc>
        <w:tc>
          <w:tcPr>
            <w:tcW w:w="355" w:type="pct"/>
            <w:tcBorders>
              <w:top w:val="nil"/>
              <w:left w:val="nil"/>
              <w:bottom w:val="single" w:sz="4" w:space="0" w:color="auto"/>
              <w:right w:val="single" w:sz="4" w:space="0" w:color="auto"/>
            </w:tcBorders>
            <w:vAlign w:val="center"/>
            <w:hideMark/>
          </w:tcPr>
          <w:p w14:paraId="35F7CDD2" w14:textId="77777777" w:rsidR="00867128" w:rsidRPr="00867128" w:rsidRDefault="00867128" w:rsidP="00867128">
            <w:pPr>
              <w:spacing w:after="0" w:line="240" w:lineRule="auto"/>
              <w:jc w:val="center"/>
              <w:rPr>
                <w:rFonts w:ascii="Times New Roman" w:eastAsia="Times New Roman" w:hAnsi="Times New Roman" w:cs="Times New Roman"/>
                <w:sz w:val="20"/>
                <w:szCs w:val="20"/>
                <w:lang w:val="sk-SK"/>
              </w:rPr>
            </w:pPr>
            <w:r w:rsidRPr="00867128">
              <w:rPr>
                <w:rFonts w:ascii="Times New Roman" w:eastAsia="Times New Roman" w:hAnsi="Times New Roman" w:cs="Times New Roman"/>
                <w:sz w:val="20"/>
                <w:szCs w:val="20"/>
                <w:lang w:val="sk-SK"/>
              </w:rPr>
              <w:t>314</w:t>
            </w:r>
          </w:p>
        </w:tc>
        <w:tc>
          <w:tcPr>
            <w:tcW w:w="264" w:type="pct"/>
            <w:tcBorders>
              <w:top w:val="nil"/>
              <w:left w:val="nil"/>
              <w:bottom w:val="single" w:sz="4" w:space="0" w:color="auto"/>
              <w:right w:val="single" w:sz="4" w:space="0" w:color="auto"/>
            </w:tcBorders>
            <w:vAlign w:val="center"/>
            <w:hideMark/>
          </w:tcPr>
          <w:p w14:paraId="7E9FC9B3" w14:textId="77777777" w:rsidR="00867128" w:rsidRPr="00867128" w:rsidRDefault="00867128" w:rsidP="00867128">
            <w:pPr>
              <w:spacing w:after="0" w:line="240" w:lineRule="auto"/>
              <w:jc w:val="center"/>
              <w:rPr>
                <w:rFonts w:ascii="Times New Roman" w:eastAsia="Times New Roman" w:hAnsi="Times New Roman" w:cs="Times New Roman"/>
                <w:color w:val="000000"/>
                <w:sz w:val="20"/>
                <w:szCs w:val="20"/>
                <w:lang w:val="sk-SK"/>
              </w:rPr>
            </w:pPr>
            <w:r w:rsidRPr="00867128">
              <w:rPr>
                <w:rFonts w:ascii="Times New Roman" w:eastAsia="Times New Roman" w:hAnsi="Times New Roman" w:cs="Times New Roman"/>
                <w:color w:val="000000"/>
                <w:sz w:val="20"/>
                <w:szCs w:val="20"/>
                <w:lang w:val="sk-SK"/>
              </w:rPr>
              <w:t>0</w:t>
            </w:r>
          </w:p>
        </w:tc>
        <w:tc>
          <w:tcPr>
            <w:tcW w:w="28" w:type="pct"/>
            <w:vAlign w:val="center"/>
            <w:hideMark/>
          </w:tcPr>
          <w:p w14:paraId="5309E51E" w14:textId="77777777" w:rsidR="00867128" w:rsidRPr="00867128" w:rsidRDefault="00867128" w:rsidP="00867128">
            <w:pPr>
              <w:spacing w:after="0" w:line="240" w:lineRule="auto"/>
              <w:rPr>
                <w:rFonts w:ascii="Times New Roman" w:eastAsia="Times New Roman" w:hAnsi="Times New Roman" w:cs="Times New Roman"/>
                <w:sz w:val="20"/>
                <w:szCs w:val="20"/>
                <w:lang w:val="sk-SK"/>
              </w:rPr>
            </w:pPr>
          </w:p>
        </w:tc>
      </w:tr>
    </w:tbl>
    <w:p w14:paraId="000000EF" w14:textId="77777777" w:rsidR="00EB1A0E" w:rsidRDefault="00EB1A0E">
      <w:pPr>
        <w:jc w:val="both"/>
        <w:rPr>
          <w:rFonts w:ascii="Times New Roman" w:eastAsia="Times New Roman" w:hAnsi="Times New Roman" w:cs="Times New Roman"/>
          <w:i/>
          <w:sz w:val="24"/>
          <w:szCs w:val="24"/>
        </w:rPr>
      </w:pPr>
    </w:p>
    <w:p w14:paraId="000000F0" w14:textId="77777777" w:rsidR="00EB1A0E" w:rsidRDefault="00EB1A0E">
      <w:pPr>
        <w:jc w:val="both"/>
        <w:rPr>
          <w:rFonts w:ascii="Times New Roman" w:eastAsia="Times New Roman" w:hAnsi="Times New Roman" w:cs="Times New Roman"/>
          <w:i/>
          <w:sz w:val="24"/>
          <w:szCs w:val="24"/>
        </w:rPr>
        <w:sectPr w:rsidR="00EB1A0E">
          <w:pgSz w:w="16838" w:h="11906" w:orient="landscape"/>
          <w:pgMar w:top="1417" w:right="1417" w:bottom="1417" w:left="1417" w:header="708" w:footer="708" w:gutter="0"/>
          <w:cols w:space="708"/>
        </w:sectPr>
      </w:pPr>
    </w:p>
    <w:p w14:paraId="000000F1" w14:textId="77777777" w:rsidR="00EB1A0E" w:rsidRDefault="00867128">
      <w:pPr>
        <w:jc w:val="both"/>
        <w:rPr>
          <w:rFonts w:ascii="Times New Roman" w:eastAsia="Times New Roman" w:hAnsi="Times New Roman" w:cs="Times New Roman"/>
          <w:b/>
          <w:i/>
          <w:sz w:val="24"/>
          <w:szCs w:val="24"/>
          <w:u w:val="single"/>
        </w:rPr>
      </w:pPr>
      <w:r>
        <w:rPr>
          <w:rFonts w:ascii="Times New Roman" w:eastAsia="Times New Roman" w:hAnsi="Times New Roman" w:cs="Times New Roman"/>
          <w:b/>
          <w:i/>
          <w:sz w:val="24"/>
          <w:szCs w:val="24"/>
          <w:u w:val="single"/>
        </w:rPr>
        <w:lastRenderedPageBreak/>
        <w:t xml:space="preserve">3.1.3 Doplňujúce informácie k spôsobu výpočtu vplyvov jednotlivých regulácií na zmenu nákladov </w:t>
      </w:r>
    </w:p>
    <w:p w14:paraId="000000F2" w14:textId="7519378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 predkladanom materiáli bol</w:t>
      </w:r>
      <w:r w:rsidR="00355302">
        <w:rPr>
          <w:rFonts w:ascii="Times New Roman" w:eastAsia="Times New Roman" w:hAnsi="Times New Roman" w:cs="Times New Roman"/>
          <w:color w:val="000000"/>
          <w:sz w:val="24"/>
          <w:szCs w:val="24"/>
        </w:rPr>
        <w:t>o</w:t>
      </w:r>
      <w:r>
        <w:rPr>
          <w:rFonts w:ascii="Times New Roman" w:eastAsia="Times New Roman" w:hAnsi="Times New Roman" w:cs="Times New Roman"/>
          <w:color w:val="000000"/>
          <w:sz w:val="24"/>
          <w:szCs w:val="24"/>
        </w:rPr>
        <w:t xml:space="preserve"> identifikovan</w:t>
      </w:r>
      <w:r w:rsidR="00355302">
        <w:rPr>
          <w:rFonts w:ascii="Times New Roman" w:eastAsia="Times New Roman" w:hAnsi="Times New Roman" w:cs="Times New Roman"/>
          <w:color w:val="000000"/>
          <w:sz w:val="24"/>
          <w:szCs w:val="24"/>
        </w:rPr>
        <w:t>ých</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5 regulácií s pozitívnym vplyvom na podnikateľské prostredie a </w:t>
      </w:r>
      <w:r w:rsidR="00355302">
        <w:rPr>
          <w:rFonts w:ascii="Times New Roman" w:eastAsia="Times New Roman" w:hAnsi="Times New Roman" w:cs="Times New Roman"/>
          <w:sz w:val="24"/>
          <w:szCs w:val="24"/>
        </w:rPr>
        <w:t>1</w:t>
      </w:r>
      <w:r>
        <w:rPr>
          <w:rFonts w:ascii="Times New Roman" w:eastAsia="Times New Roman" w:hAnsi="Times New Roman" w:cs="Times New Roman"/>
          <w:sz w:val="24"/>
          <w:szCs w:val="24"/>
        </w:rPr>
        <w:t xml:space="preserve"> s negatívnym vplyvom, </w:t>
      </w:r>
      <w:r>
        <w:rPr>
          <w:rFonts w:ascii="Times New Roman" w:eastAsia="Times New Roman" w:hAnsi="Times New Roman" w:cs="Times New Roman"/>
          <w:color w:val="000000"/>
          <w:sz w:val="24"/>
          <w:szCs w:val="24"/>
        </w:rPr>
        <w:t xml:space="preserve">ktoré sú vyčíslené v Kalkulačke nákladov. Náklady regulácií, ktoré nie je možné vyčísliť z dôvodu chýbajúcich údajov, sú uvedené v časti 3.4 Iné vplyvy na podnikateľské prostredie.  </w:t>
      </w:r>
    </w:p>
    <w:p w14:paraId="000000F3" w14:textId="77777777" w:rsidR="00EB1A0E" w:rsidRDefault="00EB1A0E">
      <w:pPr>
        <w:jc w:val="both"/>
        <w:rPr>
          <w:rFonts w:ascii="Times New Roman" w:eastAsia="Times New Roman" w:hAnsi="Times New Roman" w:cs="Times New Roman"/>
          <w:color w:val="000000"/>
          <w:sz w:val="24"/>
          <w:szCs w:val="24"/>
        </w:rPr>
      </w:pPr>
    </w:p>
    <w:p w14:paraId="000000F4" w14:textId="77777777" w:rsidR="00EB1A0E" w:rsidRDefault="00867128">
      <w:pPr>
        <w:numPr>
          <w:ilvl w:val="0"/>
          <w:numId w:val="1"/>
        </w:num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Vypustenie povinnosti predkladať na posúdenie návrh na odstraňovanie azbestu a materiálov obsahujúcich azbest zo stavieb (§ 41)</w:t>
      </w:r>
    </w:p>
    <w:p w14:paraId="000000F5"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u w:val="single"/>
        </w:rPr>
        <w:t>Počet dotknutých subjektov:</w:t>
      </w:r>
      <w:r>
        <w:rPr>
          <w:rFonts w:ascii="Times New Roman" w:eastAsia="Times New Roman" w:hAnsi="Times New Roman" w:cs="Times New Roman"/>
          <w:color w:val="000000"/>
          <w:sz w:val="24"/>
          <w:szCs w:val="24"/>
        </w:rPr>
        <w:t xml:space="preserve"> 476. </w:t>
      </w:r>
      <w:r>
        <w:rPr>
          <w:rFonts w:ascii="Times New Roman" w:eastAsia="Times New Roman" w:hAnsi="Times New Roman" w:cs="Times New Roman"/>
          <w:sz w:val="24"/>
          <w:szCs w:val="24"/>
        </w:rPr>
        <w:t>Ide o 476 fyzických osôb - podnikateľov a právnických osôb, ktorým Úrad verejného zdravotníctva SR vydal oprávnenia na odstraňovanie azbestu alebo materiálov obsahujúcich azbest zo stavieb.</w:t>
      </w:r>
    </w:p>
    <w:p w14:paraId="000000F6"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(URL:&lt;</w:t>
      </w:r>
      <w:hyperlink r:id="rId10">
        <w:r>
          <w:rPr>
            <w:rFonts w:ascii="Times New Roman" w:eastAsia="Times New Roman" w:hAnsi="Times New Roman" w:cs="Times New Roman"/>
            <w:color w:val="0000FF"/>
            <w:sz w:val="24"/>
            <w:szCs w:val="24"/>
            <w:u w:val="single"/>
          </w:rPr>
          <w:t>https://www.uvzsr.sk/documents/d/uvz/zoznam-azbest-k-21102024-pdf&gt;zo</w:t>
        </w:r>
      </w:hyperlink>
      <w:r>
        <w:rPr>
          <w:rFonts w:ascii="Times New Roman" w:eastAsia="Times New Roman" w:hAnsi="Times New Roman" w:cs="Times New Roman"/>
          <w:color w:val="0000FF"/>
          <w:sz w:val="24"/>
          <w:szCs w:val="24"/>
        </w:rPr>
        <w:t xml:space="preserve"> </w:t>
      </w:r>
      <w:r>
        <w:rPr>
          <w:rFonts w:ascii="Times New Roman" w:eastAsia="Times New Roman" w:hAnsi="Times New Roman" w:cs="Times New Roman"/>
          <w:color w:val="000000"/>
          <w:sz w:val="24"/>
          <w:szCs w:val="24"/>
        </w:rPr>
        <w:t>&gt;</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dňa 21.10.2024). </w:t>
      </w:r>
    </w:p>
    <w:p w14:paraId="000000F7"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Odstraňovanie azbestu alebo materiálov obsahujúcich azbest zo stavieb možno podľa § 41 ods. 1 zákona č. 355/2007 Z. z. vykonávať len na základe oprávnenia na odstraňovanie azbestu alebo materiálov obsahujúcich azbest zo stavieb vydaného Úradom verejného zdravotníctva SR. </w:t>
      </w:r>
    </w:p>
    <w:p w14:paraId="000000F8"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 xml:space="preserve">Priame finančné náklady – Iné poplatky </w:t>
      </w:r>
      <w:r>
        <w:rPr>
          <w:rFonts w:ascii="Times New Roman" w:eastAsia="Times New Roman" w:hAnsi="Times New Roman" w:cs="Times New Roman"/>
          <w:color w:val="000000"/>
          <w:sz w:val="24"/>
          <w:szCs w:val="24"/>
        </w:rPr>
        <w:t xml:space="preserve">(na 1 podnikateľa) 38 €. Správny poplatok za podanie žiadosti o vydanie rozhodnutia k návrhu na uvedenie priestorov do prevádzky je podľa položky 150 písm. f) zákona č. 145/1995 Z. z. o správnych poplatkoch v znení neskorších predpisov vo výške 50 € pri listinnom podaní; pri podaní elektronickými prostriedkami alebo prostredníctvom integrovaného obslužného miesta je správny poplatok 25 € (§ 6 ods. 2 zákona č. 145/1995 Z. z.). Vzhľadom na to, že sa nevykonáva štatistické zisťovanie spôsobu podania (listinne/elektronickými prostriedkami) je do kalkulačky nákladov k predmetnej regulácii uvedená priemerná hodnota listinného podania a elektronického podania 38 €. </w:t>
      </w:r>
    </w:p>
    <w:p w14:paraId="000000F9"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Podľa údajov z Výročnej správy Úradu verejného zdravotníctva SR za rok 2023 fyzické osoby – podnikatelia a právnické osoby, ktoré sú oprávnené odstraňovať azbest alebo materiály obsahujúce azbest podali 3 300 návrhov na začatie činnosti. Podľa celkového počtu 3 300 návrhov pri 476 oprávnených subjektoch je priemerný počet podaných návrhov pre jeden podnikateľský subjekt 7; tento údaj záleží od počtu objednávok odstraňovania azbestu alebo materiálov obsahujúcich azbest jednotlivých podnikateľov. Priame finančné náklady - Iné poplatky na jedného podnikateľa v € (priemerne 7 návrhov na 1 podnikateľa x priemerná hodnota listinného podania a elektronického podania 38 € = 266 €).</w:t>
      </w:r>
    </w:p>
    <w:p w14:paraId="000000FA"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Frekvencia plnenia povinnosti</w:t>
      </w:r>
      <w:r>
        <w:rPr>
          <w:rFonts w:ascii="Times New Roman" w:eastAsia="Times New Roman" w:hAnsi="Times New Roman" w:cs="Times New Roman"/>
          <w:color w:val="000000"/>
          <w:sz w:val="24"/>
          <w:szCs w:val="24"/>
        </w:rPr>
        <w:t xml:space="preserve"> – jednorazovo. </w:t>
      </w:r>
    </w:p>
    <w:p w14:paraId="000000FB"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Vypustenie povinnosti predkladať na posúdenie návrh na odstraňovanie azbestu a materiálov obsahujúcich azbest zo stavieb bude mať </w:t>
      </w:r>
      <w:r>
        <w:rPr>
          <w:rFonts w:ascii="Times New Roman" w:eastAsia="Times New Roman" w:hAnsi="Times New Roman" w:cs="Times New Roman"/>
          <w:b/>
          <w:color w:val="000000"/>
          <w:sz w:val="24"/>
          <w:szCs w:val="24"/>
        </w:rPr>
        <w:t>pozitívny vplyv na podnikateľské prostredie</w:t>
      </w:r>
      <w:r>
        <w:rPr>
          <w:rFonts w:ascii="Times New Roman" w:eastAsia="Times New Roman" w:hAnsi="Times New Roman" w:cs="Times New Roman"/>
          <w:color w:val="000000"/>
          <w:sz w:val="24"/>
          <w:szCs w:val="24"/>
        </w:rPr>
        <w:t xml:space="preserve"> z hľadiska ušetrenia správneho poplatku. Všetky povinnosti v ochrane zdravia pri odstraňovaní azbestu zostávajú zachované a budú súčasťou oznámenia, v súlade so smernicou EÚ. </w:t>
      </w:r>
    </w:p>
    <w:p w14:paraId="000000FC"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Ušetrené náklady pre podnikateľské subjekty, ktorých sa týkala povinnosť predkladať na posúdenie návrh na odstraňovanie azbestu a materiálov obsahujúcich azbest zo stavieb,  predstavujú približne 31 654 €.</w:t>
      </w:r>
    </w:p>
    <w:p w14:paraId="000000FD" w14:textId="77777777" w:rsidR="00EB1A0E" w:rsidRDefault="00EB1A0E">
      <w:pPr>
        <w:jc w:val="both"/>
        <w:rPr>
          <w:rFonts w:ascii="Times New Roman" w:eastAsia="Times New Roman" w:hAnsi="Times New Roman" w:cs="Times New Roman"/>
          <w:color w:val="000000"/>
          <w:sz w:val="24"/>
          <w:szCs w:val="24"/>
        </w:rPr>
      </w:pPr>
    </w:p>
    <w:p w14:paraId="000000FE" w14:textId="77777777" w:rsidR="00EB1A0E" w:rsidRDefault="00867128">
      <w:pPr>
        <w:numPr>
          <w:ilvl w:val="0"/>
          <w:numId w:val="1"/>
        </w:num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Vypustenie povinnosti vypracovať prevádzkový poriadok pri rizikovej práci z dôvodu záťaže teplom alebo záťaže chladom z technológie (§ 37 ods. 4)</w:t>
      </w:r>
    </w:p>
    <w:p w14:paraId="000000FF"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návrhu sa vypúšťa povinnosť vypracovania prevádzkového poriadku pri práci z dôvodu záťaže teplom a záťaže chladom pri práci z technológie. </w:t>
      </w:r>
    </w:p>
    <w:p w14:paraId="00000100"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u w:val="single"/>
        </w:rPr>
        <w:t>Kategória dotknutých subjektov</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sz w:val="24"/>
          <w:szCs w:val="24"/>
        </w:rPr>
        <w:t>fyzické osoby - podnikatelia a právnické osoby, ktorí boli doteraz povinní vypracovať prevádzkový poriadok pri práci z dôvodu záťaže teplom alebo záťaže chladom z technológie.</w:t>
      </w:r>
    </w:p>
    <w:p w14:paraId="00000101"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Počet dotknutých subjektov</w:t>
      </w:r>
      <w:r>
        <w:rPr>
          <w:rFonts w:ascii="Times New Roman" w:eastAsia="Times New Roman" w:hAnsi="Times New Roman" w:cs="Times New Roman"/>
          <w:sz w:val="24"/>
          <w:szCs w:val="24"/>
        </w:rPr>
        <w:t xml:space="preserve"> – 30. Podľa údajov poskytnutých z regionálnych úradov verejného zdravotníctva bolo v Slovenskej republike v roku 2019 schválených 36 a v roku 2020 24 prevádzkových poriadkov z dôvodu záťaže teplom a záťaže chladom pri práci z technológie. Keďže presný počet dotknutých subjektov nie je možné určiť, môžeme z vyššie uvedených údajov predpokladať, že priemerne za kalendárny rok bolo v Slovenskej republike zamestnávateľmi vypracovaných cca 30 prevádzkových poriadkov z dôvodu záťaže teplom a chladom pri práci z technológie. </w:t>
      </w:r>
    </w:p>
    <w:p w14:paraId="00000102"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Náklady</w:t>
      </w:r>
      <w:r>
        <w:rPr>
          <w:rFonts w:ascii="Times New Roman" w:eastAsia="Times New Roman" w:hAnsi="Times New Roman" w:cs="Times New Roman"/>
          <w:sz w:val="24"/>
          <w:szCs w:val="24"/>
        </w:rPr>
        <w:t xml:space="preserve"> - Ministerstvo zdravotníctva SR nedisponuje žiadnymi údajmi, z ktorých by bolo možné presne určiť počet dotknutých subjektov, ktorých by sa vypustenie povinnosti vypracovania prevádzkových poriadkov mohla dotknúť. Prevádzkové poriadky z hľadiska ochrany a podpory zdravia zamestnancov pri záťaži teplom a záťaži chladom pri práci z technológie sa neschvaľujú od 21.09.2020 orgánmi verejného zdravotníctva.</w:t>
      </w:r>
    </w:p>
    <w:p w14:paraId="00000103"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 xml:space="preserve">Nepriame finančné náklady </w:t>
      </w:r>
      <w:r>
        <w:rPr>
          <w:rFonts w:ascii="Times New Roman" w:eastAsia="Times New Roman" w:hAnsi="Times New Roman" w:cs="Times New Roman"/>
          <w:sz w:val="24"/>
          <w:szCs w:val="24"/>
        </w:rPr>
        <w:t xml:space="preserve">– Iné nepriame náklady (na 1 podnikateľa) – 160 €. </w:t>
      </w:r>
    </w:p>
    <w:p w14:paraId="00000104"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Podľa údajov Štatistického úradu SR úplné hodinové náklady práce pre administratívne a podporné služby za rok 2022 (podľa údajov Štatistického úradu SR</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sú 11,32 € za 1 hodinu práce. Časovú náročnosť vypracovania prevádzkových poriadkov, ktorá závisí od náročnosti podmienok pracoviska, počtu zamestnancov, faktorov práce, odhadujeme v priemere na 16 hodín práce. Vychádzajúc z uvedeného, hodnota nákladov pre jeden podnikateľský subjekt predstavuje súčin časovej náročnosti a hodinových nákladov, t. j. v priemere cca 180 €. </w:t>
      </w:r>
    </w:p>
    <w:p w14:paraId="00000105" w14:textId="751C0A39"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Keďže ceny za </w:t>
      </w:r>
      <w:sdt>
        <w:sdtPr>
          <w:tag w:val="goog_rdk_0"/>
          <w:id w:val="-1804746582"/>
        </w:sdtPr>
        <w:sdtContent>
          <w:r>
            <w:rPr>
              <w:rFonts w:ascii="Times New Roman" w:eastAsia="Times New Roman" w:hAnsi="Times New Roman" w:cs="Times New Roman"/>
              <w:sz w:val="24"/>
              <w:szCs w:val="24"/>
            </w:rPr>
            <w:t>vypracovanie prevádzkového poriadku</w:t>
          </w:r>
        </w:sdtContent>
      </w:sdt>
      <w:sdt>
        <w:sdtPr>
          <w:tag w:val="goog_rdk_1"/>
          <w:id w:val="1112147355"/>
          <w:showingPlcHdr/>
        </w:sdtPr>
        <w:sdtContent>
          <w:r w:rsidR="00D12078">
            <w:t xml:space="preserve">     </w:t>
          </w:r>
        </w:sdtContent>
      </w:sdt>
      <w:r>
        <w:rPr>
          <w:rFonts w:ascii="Times New Roman" w:eastAsia="Times New Roman" w:hAnsi="Times New Roman" w:cs="Times New Roman"/>
          <w:sz w:val="24"/>
          <w:szCs w:val="24"/>
        </w:rPr>
        <w:t xml:space="preserve"> nie sú upravené žiadnym predpisom, Ministerstvo zdravotníctva SR nedisponuje ich prehľadom</w:t>
      </w:r>
      <w:sdt>
        <w:sdtPr>
          <w:tag w:val="goog_rdk_2"/>
          <w:id w:val="-1833537107"/>
          <w:showingPlcHdr/>
        </w:sdtPr>
        <w:sdtContent>
          <w:r w:rsidR="00D12078">
            <w:t xml:space="preserve">     </w:t>
          </w:r>
        </w:sdtContent>
      </w:sdt>
      <w:r>
        <w:rPr>
          <w:rFonts w:ascii="Times New Roman" w:eastAsia="Times New Roman" w:hAnsi="Times New Roman" w:cs="Times New Roman"/>
          <w:sz w:val="24"/>
          <w:szCs w:val="24"/>
        </w:rPr>
        <w:t xml:space="preserve">.  </w:t>
      </w:r>
    </w:p>
    <w:p w14:paraId="00000106" w14:textId="4FC12B69"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u w:val="single"/>
        </w:rPr>
        <w:t>Frekvencia plnenia povinnosti</w:t>
      </w:r>
      <w:r>
        <w:rPr>
          <w:rFonts w:ascii="Times New Roman" w:eastAsia="Times New Roman" w:hAnsi="Times New Roman" w:cs="Times New Roman"/>
          <w:color w:val="000000"/>
          <w:sz w:val="24"/>
          <w:szCs w:val="24"/>
        </w:rPr>
        <w:t xml:space="preserve"> – nepravidelne. </w:t>
      </w:r>
      <w:r>
        <w:rPr>
          <w:rFonts w:ascii="Times New Roman" w:eastAsia="Times New Roman" w:hAnsi="Times New Roman" w:cs="Times New Roman"/>
          <w:sz w:val="24"/>
          <w:szCs w:val="24"/>
        </w:rPr>
        <w:t xml:space="preserve">Presný počet dotknutých podnikateľských subjektov nie je možné určiť, pretože vypracovanie prevádzkových poriadkov sa nevykonáva pravidelne. </w:t>
      </w:r>
      <w:sdt>
        <w:sdtPr>
          <w:tag w:val="goog_rdk_3"/>
          <w:id w:val="-262261880"/>
          <w:showingPlcHdr/>
        </w:sdtPr>
        <w:sdtContent>
          <w:r w:rsidR="00D12078">
            <w:t xml:space="preserve">     </w:t>
          </w:r>
        </w:sdtContent>
      </w:sdt>
    </w:p>
    <w:p w14:paraId="00000107" w14:textId="77777777" w:rsidR="00EB1A0E" w:rsidRDefault="00867128">
      <w:pPr>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 xml:space="preserve">pozitívny vplyv na podnikateľské prostredie </w:t>
      </w:r>
      <w:r>
        <w:rPr>
          <w:rFonts w:ascii="Times New Roman" w:eastAsia="Times New Roman" w:hAnsi="Times New Roman" w:cs="Times New Roman"/>
          <w:color w:val="000000"/>
          <w:sz w:val="24"/>
          <w:szCs w:val="24"/>
        </w:rPr>
        <w:t xml:space="preserve">z hľadiska </w:t>
      </w:r>
      <w:sdt>
        <w:sdtPr>
          <w:tag w:val="goog_rdk_4"/>
          <w:id w:val="898813069"/>
        </w:sdtPr>
        <w:sdtContent>
          <w:r>
            <w:rPr>
              <w:rFonts w:ascii="Times New Roman" w:eastAsia="Times New Roman" w:hAnsi="Times New Roman" w:cs="Times New Roman"/>
              <w:color w:val="000000"/>
              <w:sz w:val="24"/>
              <w:szCs w:val="24"/>
            </w:rPr>
            <w:t xml:space="preserve">ušetrenia </w:t>
          </w:r>
        </w:sdtContent>
      </w:sdt>
      <w:r>
        <w:rPr>
          <w:rFonts w:ascii="Times New Roman" w:eastAsia="Times New Roman" w:hAnsi="Times New Roman" w:cs="Times New Roman"/>
          <w:color w:val="000000"/>
          <w:sz w:val="24"/>
          <w:szCs w:val="24"/>
        </w:rPr>
        <w:t xml:space="preserve">nákladov na vypracovanie prevádzkového poriadku. Preventívne a ochranné opatrenia pre pracovné </w:t>
      </w:r>
      <w:r>
        <w:rPr>
          <w:rFonts w:ascii="Times New Roman" w:eastAsia="Times New Roman" w:hAnsi="Times New Roman" w:cs="Times New Roman"/>
          <w:color w:val="000000"/>
          <w:sz w:val="24"/>
          <w:szCs w:val="24"/>
        </w:rPr>
        <w:lastRenderedPageBreak/>
        <w:t>činnosti súvisiace so záťažou teplom alebo záťažou chladom pri práci so zohľadnením pracovných podmienok a triedy práce uvádza posudok o riziku.</w:t>
      </w:r>
    </w:p>
    <w:p w14:paraId="00000108"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Ušetrené náklady pre podnikateľské subjekty, ktorých sa týkala povinnosť vypracovať prevádzkový poriadok z dôvodu záťaže teplom alebo záťaže chladom z technológie,  predstavujú približne 5 400 €.</w:t>
      </w:r>
    </w:p>
    <w:p w14:paraId="00000109" w14:textId="77777777" w:rsidR="00EB1A0E" w:rsidRDefault="00EB1A0E">
      <w:pPr>
        <w:jc w:val="both"/>
        <w:rPr>
          <w:rFonts w:ascii="Times New Roman" w:eastAsia="Times New Roman" w:hAnsi="Times New Roman" w:cs="Times New Roman"/>
          <w:b/>
          <w:color w:val="000000"/>
          <w:sz w:val="24"/>
          <w:szCs w:val="24"/>
        </w:rPr>
      </w:pPr>
    </w:p>
    <w:p w14:paraId="0000010A" w14:textId="77777777" w:rsidR="00EB1A0E" w:rsidRDefault="00867128">
      <w:pPr>
        <w:numPr>
          <w:ilvl w:val="0"/>
          <w:numId w:val="1"/>
        </w:num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Vypustenie povinnosti vypracovať prevádzkový poriadok z dôvodu fyzickej záťaže (§ 38)</w:t>
      </w:r>
    </w:p>
    <w:p w14:paraId="0000010B"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Vypracovanie prevádzkového poriadku sa podľa aktuálne platnej legislatívy vyžaduje na pracoviskách, na ktorých sú zamestnanci vystavení fyzickej záťaži a vykonávajú rizikovú prácu (prácu zaradenú do kategórie 3 alebo 4). Podľa návrhu vyhlášky sa vypracovanie prevádzkového poriadku u fyzickej záťaže nebude požadovať. </w:t>
      </w:r>
    </w:p>
    <w:p w14:paraId="0000010C"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Kategória dotknutých subjektov</w:t>
      </w:r>
      <w:r>
        <w:rPr>
          <w:rFonts w:ascii="Times New Roman" w:eastAsia="Times New Roman" w:hAnsi="Times New Roman" w:cs="Times New Roman"/>
          <w:sz w:val="24"/>
          <w:szCs w:val="24"/>
        </w:rPr>
        <w:t xml:space="preserve"> – fyzické osoby – podnikatelia a právnické osoby, ktorých zamestnanci vykonávajú rizikovú prácu s faktorom fyzická záťaž.</w:t>
      </w:r>
    </w:p>
    <w:p w14:paraId="0000010D"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Počet dotknutých subjektov</w:t>
      </w:r>
      <w:r>
        <w:rPr>
          <w:rFonts w:ascii="Times New Roman" w:eastAsia="Times New Roman" w:hAnsi="Times New Roman" w:cs="Times New Roman"/>
          <w:sz w:val="24"/>
          <w:szCs w:val="24"/>
        </w:rPr>
        <w:t xml:space="preserve"> – približne 70. Tento počet sme určili na základe výstupov celonárodného registra rizikových prác (z programu informačného systému ASTR). </w:t>
      </w:r>
    </w:p>
    <w:p w14:paraId="0000010E"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Náklady</w:t>
      </w:r>
      <w:r>
        <w:rPr>
          <w:rFonts w:ascii="Times New Roman" w:eastAsia="Times New Roman" w:hAnsi="Times New Roman" w:cs="Times New Roman"/>
          <w:sz w:val="24"/>
          <w:szCs w:val="24"/>
        </w:rPr>
        <w:t xml:space="preserve"> – iné nepriame finančné náklady – 354 €</w:t>
      </w:r>
    </w:p>
    <w:p w14:paraId="0000010F"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Vyčíslením nákladov sa zaoberal aj Komplexný audit povinností MSP v oblasti BOZP</w:t>
      </w:r>
      <w:r>
        <w:rPr>
          <w:rFonts w:ascii="Times New Roman" w:eastAsia="Times New Roman" w:hAnsi="Times New Roman" w:cs="Times New Roman"/>
          <w:sz w:val="24"/>
          <w:szCs w:val="24"/>
          <w:vertAlign w:val="superscript"/>
        </w:rPr>
        <w:footnoteReference w:id="2"/>
      </w:r>
      <w:r>
        <w:rPr>
          <w:rFonts w:ascii="Times New Roman" w:eastAsia="Times New Roman" w:hAnsi="Times New Roman" w:cs="Times New Roman"/>
          <w:sz w:val="24"/>
          <w:szCs w:val="24"/>
        </w:rPr>
        <w:t xml:space="preserve">, vypracovaný Slovak Business Agency. Táto povinnosť bola vyčíslená celkovými nákladmi jednotkovými na sumu 354 € (frekvencia x hodinová sadzba x počet hodín + nepriame FN jednotkové – vypracovanie dokumentu externým subjektom, na príprave ktorého sa bude podieľať aj zamestnávateľ, v priemernej sume 250 €). Z tohto dôvodu uvádzame túto sumu aj do Kalkulačky nákladov.  </w:t>
      </w:r>
    </w:p>
    <w:p w14:paraId="00000110"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Frekvencia plnenia povinnosti</w:t>
      </w:r>
      <w:r>
        <w:rPr>
          <w:rFonts w:ascii="Times New Roman" w:eastAsia="Times New Roman" w:hAnsi="Times New Roman" w:cs="Times New Roman"/>
          <w:sz w:val="24"/>
          <w:szCs w:val="24"/>
        </w:rPr>
        <w:t xml:space="preserve"> – nepravidelne </w:t>
      </w:r>
    </w:p>
    <w:p w14:paraId="00000111" w14:textId="77777777" w:rsidR="00EB1A0E" w:rsidRDefault="00867128">
      <w:pPr>
        <w:spacing w:after="0" w:line="276" w:lineRule="auto"/>
        <w:jc w:val="both"/>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u w:val="single"/>
        </w:rPr>
        <w:t>Druh vplyvu</w:t>
      </w:r>
      <w:r>
        <w:rPr>
          <w:rFonts w:ascii="Times New Roman" w:eastAsia="Times New Roman" w:hAnsi="Times New Roman" w:cs="Times New Roman"/>
          <w:sz w:val="24"/>
          <w:szCs w:val="24"/>
        </w:rPr>
        <w:t xml:space="preserve"> - </w:t>
      </w:r>
      <w:r>
        <w:rPr>
          <w:rFonts w:ascii="Times New Roman" w:eastAsia="Times New Roman" w:hAnsi="Times New Roman" w:cs="Times New Roman"/>
          <w:b/>
          <w:sz w:val="24"/>
          <w:szCs w:val="24"/>
        </w:rPr>
        <w:t>pozitívny vplyv na podnikateľské prostredie.</w:t>
      </w:r>
    </w:p>
    <w:p w14:paraId="00000112"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Ušetrené náklady pre podnikateľské subjekty, ktorých zamestnanci sú vystavení fyzickej záťaži a vykonávajú rizikovú prácu (kategória 3 alebo 4), zrušením prevádzkových poriadkov predstavuje približne 24 780 €. </w:t>
      </w:r>
      <w:r>
        <w:rPr>
          <w:rFonts w:ascii="Times New Roman" w:eastAsia="Times New Roman" w:hAnsi="Times New Roman" w:cs="Times New Roman"/>
          <w:color w:val="000000"/>
          <w:sz w:val="24"/>
          <w:szCs w:val="24"/>
        </w:rPr>
        <w:t>Preventívne a ochranné opatrenia pre pracovné činnosti súvisiace s fyzickou záťažou so zohľadnením pracovných podmienok uvádza posudok o riziku.</w:t>
      </w:r>
    </w:p>
    <w:p w14:paraId="00000113" w14:textId="77777777" w:rsidR="00EB1A0E" w:rsidRDefault="00EB1A0E">
      <w:pPr>
        <w:spacing w:after="0" w:line="276" w:lineRule="auto"/>
        <w:jc w:val="both"/>
        <w:rPr>
          <w:rFonts w:ascii="Times New Roman" w:eastAsia="Times New Roman" w:hAnsi="Times New Roman" w:cs="Times New Roman"/>
          <w:sz w:val="24"/>
          <w:szCs w:val="24"/>
        </w:rPr>
      </w:pPr>
    </w:p>
    <w:p w14:paraId="00000114" w14:textId="77777777" w:rsidR="00EB1A0E" w:rsidRDefault="00867128">
      <w:pPr>
        <w:numPr>
          <w:ilvl w:val="0"/>
          <w:numId w:val="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Zníženie nákladov o správny poplatok za podanie žiadostí o vydanie rozhodnutia pre organizátorov zotavovacích podujatí (§ 25)</w:t>
      </w:r>
    </w:p>
    <w:p w14:paraId="00000115" w14:textId="77777777" w:rsidR="00EB1A0E" w:rsidRDefault="00EB1A0E">
      <w:pPr>
        <w:spacing w:after="0" w:line="276" w:lineRule="auto"/>
        <w:jc w:val="both"/>
        <w:rPr>
          <w:rFonts w:ascii="Times New Roman" w:eastAsia="Times New Roman" w:hAnsi="Times New Roman" w:cs="Times New Roman"/>
          <w:b/>
          <w:sz w:val="24"/>
          <w:szCs w:val="24"/>
        </w:rPr>
      </w:pPr>
    </w:p>
    <w:p w14:paraId="00000116"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Počet dotknutých subjektov</w:t>
      </w:r>
      <w:r>
        <w:rPr>
          <w:rFonts w:ascii="Times New Roman" w:eastAsia="Times New Roman" w:hAnsi="Times New Roman" w:cs="Times New Roman"/>
          <w:sz w:val="24"/>
          <w:szCs w:val="24"/>
        </w:rPr>
        <w:t xml:space="preserve">:  3172. Ide o fyzické osoby – podnikatelia a právnické osoby, ktoré organizujú zotavovacie podujatie, ktorým Regionálny úrad verejného zdravotníctva vydával rozhodnutie o organizovaní zotavovacieho podujatia. </w:t>
      </w:r>
    </w:p>
    <w:p w14:paraId="00000117"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(URL:&lt;</w:t>
      </w:r>
      <w:r>
        <w:t xml:space="preserve"> </w:t>
      </w:r>
      <w:hyperlink r:id="rId11">
        <w:r>
          <w:rPr>
            <w:rFonts w:ascii="Times New Roman" w:eastAsia="Times New Roman" w:hAnsi="Times New Roman" w:cs="Times New Roman"/>
            <w:color w:val="0000FF"/>
            <w:sz w:val="24"/>
            <w:szCs w:val="24"/>
            <w:u w:val="single"/>
          </w:rPr>
          <w:t>https://www.uvzsr.sk/documents/d/uvz/vs-ruvz-za-rok-2023-final-pdf</w:t>
        </w:r>
      </w:hyperlink>
      <w:r>
        <w:rPr>
          <w:rFonts w:ascii="Times New Roman" w:eastAsia="Times New Roman" w:hAnsi="Times New Roman" w:cs="Times New Roman"/>
          <w:sz w:val="24"/>
          <w:szCs w:val="24"/>
        </w:rPr>
        <w:t>&gt; zo dňa 17.02.2025).</w:t>
      </w:r>
    </w:p>
    <w:p w14:paraId="00000118"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119"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Organizácia zotavovacieho podujatia je možná na základe rozhodnutia orgánu verejného zdravotníctva podľa  § 13 ods.4 písm. d) zákona č. 355/2007 Z. z.</w:t>
      </w:r>
    </w:p>
    <w:p w14:paraId="0000011A" w14:textId="77777777" w:rsidR="00EB1A0E" w:rsidRDefault="00EB1A0E">
      <w:pPr>
        <w:spacing w:after="0" w:line="276" w:lineRule="auto"/>
        <w:jc w:val="both"/>
        <w:rPr>
          <w:rFonts w:ascii="Times New Roman" w:eastAsia="Times New Roman" w:hAnsi="Times New Roman" w:cs="Times New Roman"/>
          <w:sz w:val="24"/>
          <w:szCs w:val="24"/>
        </w:rPr>
      </w:pPr>
    </w:p>
    <w:p w14:paraId="0000011B"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Priame finančné náklady – Iné poplatky</w:t>
      </w:r>
      <w:r>
        <w:rPr>
          <w:rFonts w:ascii="Times New Roman" w:eastAsia="Times New Roman" w:hAnsi="Times New Roman" w:cs="Times New Roman"/>
          <w:sz w:val="24"/>
          <w:szCs w:val="24"/>
        </w:rPr>
        <w:t xml:space="preserve"> (na 1 podnikateľa ) 38 €.  Správny poplatok za podanie žiadosti o vydanie rozhodnutia o organizácii zotavovacieho podujatia je podľa položky 150 písm. f) zákona č. 145/1995 Z. z. o správnych poplatkoch v znení neskorších predpisov vo výške 50 € pri listinnom podaní: pri podaní elektronickými prostriedkami alebo prostredníctvom integrovaného obslužného miesta je správny poplatok 25 € (§ 6 ods. 2 zákona č. 145/1995 Z. z.). Vzhľadom na to, že sa nevykonáva štatistické zisťovanie spôsobu podania ( listinné alebo elektronické prostriedky) je do kalkulačky nákladov k predmetnej regulácií uvedená priemerná hodnota listinného podania a elektronického podania 38 €.</w:t>
      </w:r>
    </w:p>
    <w:p w14:paraId="0000011C"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Podľa údajov z Výročnej správy Úradu verejného zdravotníctva za rok 2023 fyzické osoby– podnikatelia a právnické osoby, ktorý organizujú zastavovacie podujatie podali 3 172 žiadostí o vydanie rozhodnutia. Priame finančné náklady – Iné poplatky na 1 podnikateľa sú  v priemere 38 €.</w:t>
      </w:r>
    </w:p>
    <w:p w14:paraId="0000011D"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Frekvencia plnenia povinností</w:t>
      </w:r>
      <w:r>
        <w:rPr>
          <w:rFonts w:ascii="Times New Roman" w:eastAsia="Times New Roman" w:hAnsi="Times New Roman" w:cs="Times New Roman"/>
          <w:sz w:val="24"/>
          <w:szCs w:val="24"/>
        </w:rPr>
        <w:t xml:space="preserve"> – jednorazovo.</w:t>
      </w:r>
    </w:p>
    <w:p w14:paraId="0000011E" w14:textId="77777777" w:rsidR="00EB1A0E" w:rsidRDefault="00EB1A0E">
      <w:pPr>
        <w:spacing w:after="0" w:line="276" w:lineRule="auto"/>
        <w:jc w:val="both"/>
        <w:rPr>
          <w:rFonts w:ascii="Times New Roman" w:eastAsia="Times New Roman" w:hAnsi="Times New Roman" w:cs="Times New Roman"/>
          <w:sz w:val="24"/>
          <w:szCs w:val="24"/>
        </w:rPr>
      </w:pPr>
    </w:p>
    <w:p w14:paraId="0000011F"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Druh vplyvu</w:t>
      </w:r>
      <w:r>
        <w:rPr>
          <w:rFonts w:ascii="Times New Roman" w:eastAsia="Times New Roman" w:hAnsi="Times New Roman" w:cs="Times New Roman"/>
          <w:sz w:val="24"/>
          <w:szCs w:val="24"/>
        </w:rPr>
        <w:t xml:space="preserve"> – vypustenie povinností prekladať žiadosť o posúdenie zotavovacieho podujatia bude mať </w:t>
      </w:r>
      <w:r>
        <w:rPr>
          <w:rFonts w:ascii="Times New Roman" w:eastAsia="Times New Roman" w:hAnsi="Times New Roman" w:cs="Times New Roman"/>
          <w:b/>
          <w:sz w:val="24"/>
          <w:szCs w:val="24"/>
        </w:rPr>
        <w:t>pozitívny vplyv na podnikateľské prostredie</w:t>
      </w:r>
      <w:r>
        <w:rPr>
          <w:rFonts w:ascii="Times New Roman" w:eastAsia="Times New Roman" w:hAnsi="Times New Roman" w:cs="Times New Roman"/>
          <w:sz w:val="24"/>
          <w:szCs w:val="24"/>
        </w:rPr>
        <w:t>.</w:t>
      </w:r>
    </w:p>
    <w:p w14:paraId="00000120"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Ušetrené náklady pre organizátorov predstavuje približne 30 134 €.</w:t>
      </w:r>
    </w:p>
    <w:p w14:paraId="00000121" w14:textId="77777777" w:rsidR="00EB1A0E" w:rsidRDefault="00EB1A0E">
      <w:pPr>
        <w:spacing w:after="0" w:line="276" w:lineRule="auto"/>
        <w:jc w:val="both"/>
        <w:rPr>
          <w:rFonts w:ascii="Times New Roman" w:eastAsia="Times New Roman" w:hAnsi="Times New Roman" w:cs="Times New Roman"/>
          <w:sz w:val="24"/>
          <w:szCs w:val="24"/>
        </w:rPr>
      </w:pPr>
    </w:p>
    <w:p w14:paraId="00000122" w14:textId="77777777" w:rsidR="00EB1A0E" w:rsidRDefault="00867128">
      <w:pPr>
        <w:numPr>
          <w:ilvl w:val="0"/>
          <w:numId w:val="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Opätovné zavedenie rozhodovacej činnosti podľa  § 13 ods. 4 písm. a) zákona č. 355/2007 Z. z. pre zariadenia starostlivosti o ľudské telo na základe rozhodnutia orgánu verejného zdravotníctva (§ 52 ods. 1 písm. b))</w:t>
      </w:r>
    </w:p>
    <w:p w14:paraId="00000123" w14:textId="77777777" w:rsidR="00EB1A0E" w:rsidRDefault="00EB1A0E">
      <w:pPr>
        <w:pBdr>
          <w:top w:val="nil"/>
          <w:left w:val="nil"/>
          <w:bottom w:val="nil"/>
          <w:right w:val="nil"/>
          <w:between w:val="nil"/>
        </w:pBdr>
        <w:spacing w:after="0" w:line="276" w:lineRule="auto"/>
        <w:ind w:left="720"/>
        <w:jc w:val="both"/>
        <w:rPr>
          <w:rFonts w:ascii="Times New Roman" w:eastAsia="Times New Roman" w:hAnsi="Times New Roman" w:cs="Times New Roman"/>
          <w:color w:val="000000"/>
          <w:sz w:val="24"/>
          <w:szCs w:val="24"/>
        </w:rPr>
      </w:pPr>
    </w:p>
    <w:p w14:paraId="00000124"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Priame finančné náklady – Iné poplatky</w:t>
      </w:r>
      <w:r>
        <w:rPr>
          <w:rFonts w:ascii="Times New Roman" w:eastAsia="Times New Roman" w:hAnsi="Times New Roman" w:cs="Times New Roman"/>
          <w:color w:val="000000"/>
          <w:sz w:val="24"/>
          <w:szCs w:val="24"/>
        </w:rPr>
        <w:t xml:space="preserve"> (na 1 podnikateľa ) 38 €.  Správny poplatok za podanie žiadosti o vydanie rozhodnutia o organizácii zotavovacieho podujatia je podľa položky 150 písm. f) zákona č. 145/1995 Z. z. o správnych poplatkoch v znení neskorších predpisov vo výške 50 € pri listinnom podaní: pri podaní elektronickými prostriedkami alebo prostredníctvom integrovaného obslužného miesta je správny poplatok 25 € (§ 6 ods. 2 zákona č. 145/1995 Z. z.). Vzhľadom na to, že sa nevykonáva štatistické zisťovanie spôsobu podania (listinné alebo elektronické prostriedky) je do kalkulačky nákladov k predmetnej regulácií uvedená priemerná hodnota listinného podania a elektronického podania 38 €.</w:t>
      </w:r>
    </w:p>
    <w:p w14:paraId="00000125"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Podľa údajov za jednotlivé RÚVZ bolo za rok 2024 podaných 3 258 oznámení o začatí prevádzky zariadení starostlivosti o ľudské telo. Priame finančné náklady – Iné poplatky na 1 podnikateľa sú v priemere 38 €.</w:t>
      </w:r>
    </w:p>
    <w:p w14:paraId="00000126"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Frekvencia plnenia povinností</w:t>
      </w:r>
      <w:r>
        <w:rPr>
          <w:rFonts w:ascii="Times New Roman" w:eastAsia="Times New Roman" w:hAnsi="Times New Roman" w:cs="Times New Roman"/>
          <w:color w:val="000000"/>
          <w:sz w:val="24"/>
          <w:szCs w:val="24"/>
        </w:rPr>
        <w:t xml:space="preserve"> – jednorazovo.</w:t>
      </w:r>
    </w:p>
    <w:p w14:paraId="00000127" w14:textId="77777777" w:rsidR="00EB1A0E" w:rsidRDefault="00867128">
      <w:pP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opätovné zavedenie povinností prekladať žiadosť o uvedenie priestorov do prevádzky bude mať </w:t>
      </w:r>
      <w:r>
        <w:rPr>
          <w:rFonts w:ascii="Times New Roman" w:eastAsia="Times New Roman" w:hAnsi="Times New Roman" w:cs="Times New Roman"/>
          <w:b/>
          <w:color w:val="000000"/>
          <w:sz w:val="24"/>
          <w:szCs w:val="24"/>
        </w:rPr>
        <w:t>negatívny vplyv na podnikateľské prostredie</w:t>
      </w:r>
      <w:r>
        <w:rPr>
          <w:rFonts w:ascii="Times New Roman" w:eastAsia="Times New Roman" w:hAnsi="Times New Roman" w:cs="Times New Roman"/>
          <w:color w:val="000000"/>
          <w:sz w:val="24"/>
          <w:szCs w:val="24"/>
        </w:rPr>
        <w:t>.</w:t>
      </w:r>
    </w:p>
    <w:p w14:paraId="00000128" w14:textId="77777777" w:rsidR="00EB1A0E" w:rsidRDefault="00EB1A0E">
      <w:pPr>
        <w:spacing w:line="276" w:lineRule="auto"/>
        <w:jc w:val="both"/>
        <w:rPr>
          <w:rFonts w:ascii="Times New Roman" w:eastAsia="Times New Roman" w:hAnsi="Times New Roman" w:cs="Times New Roman"/>
          <w:color w:val="4472C4"/>
          <w:sz w:val="24"/>
          <w:szCs w:val="24"/>
        </w:rPr>
      </w:pPr>
    </w:p>
    <w:p w14:paraId="00000131" w14:textId="77777777" w:rsidR="00EB1A0E" w:rsidRDefault="00EB1A0E">
      <w:pPr>
        <w:spacing w:line="276" w:lineRule="auto"/>
        <w:jc w:val="both"/>
        <w:rPr>
          <w:rFonts w:ascii="Times New Roman" w:eastAsia="Times New Roman" w:hAnsi="Times New Roman" w:cs="Times New Roman"/>
          <w:sz w:val="24"/>
          <w:szCs w:val="24"/>
        </w:rPr>
      </w:pPr>
    </w:p>
    <w:p w14:paraId="00000132" w14:textId="77777777" w:rsidR="00EB1A0E" w:rsidRDefault="00867128">
      <w:pPr>
        <w:numPr>
          <w:ilvl w:val="0"/>
          <w:numId w:val="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Vypustenie povinnosti predkladať na posúdenie návrh na činnosti súvisiace s expozíciou karcinogénnym faktorom, mutagénnym faktorom alebo reprodukčne toxickým faktorom zaradeným do prvej kategórie (§ 13 ods. 4písm. g))</w:t>
      </w:r>
    </w:p>
    <w:p w14:paraId="00000133" w14:textId="77777777" w:rsidR="00EB1A0E" w:rsidRDefault="00EB1A0E">
      <w:pPr>
        <w:pBdr>
          <w:top w:val="nil"/>
          <w:left w:val="nil"/>
          <w:bottom w:val="nil"/>
          <w:right w:val="nil"/>
          <w:between w:val="nil"/>
        </w:pBdr>
        <w:spacing w:after="0" w:line="276" w:lineRule="auto"/>
        <w:ind w:left="720"/>
        <w:jc w:val="both"/>
        <w:rPr>
          <w:rFonts w:ascii="Times New Roman" w:eastAsia="Times New Roman" w:hAnsi="Times New Roman" w:cs="Times New Roman"/>
          <w:b/>
          <w:color w:val="000000"/>
          <w:sz w:val="24"/>
          <w:szCs w:val="24"/>
        </w:rPr>
      </w:pPr>
    </w:p>
    <w:p w14:paraId="00000134"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Upresňuje sa rozhodovanie orgánu verejného zdravotníctva pri činnostiach s expozíciou karcinogénnym faktorom, mutagénnym faktorom alebo reprodukčne toxickým faktorom, a to pri výkone práce zaradenej do druhej kategórie, tretej kategórie alebo štvrtej kategórie. Rozhodovanie orgánu verejného zdravotníctva sa nevzťahuje na výkon práce s expozíciou karcinogénnym faktorom, mutagénnym faktorom alebo reprodukčne toxickým faktorom zaradeným do prvej kategórie.</w:t>
      </w:r>
    </w:p>
    <w:p w14:paraId="00000135"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Kategória dotknutých subjektov</w:t>
      </w:r>
      <w:r>
        <w:rPr>
          <w:rFonts w:ascii="Times New Roman" w:eastAsia="Times New Roman" w:hAnsi="Times New Roman" w:cs="Times New Roman"/>
          <w:sz w:val="24"/>
          <w:szCs w:val="24"/>
        </w:rPr>
        <w:t xml:space="preserve"> - fyzické osoby – podnikatelia a právnické osoby, ktorých zamestnanci sú exponovaní karcinogénnym faktorom, mutagénnym faktorom alebo reprodukčne toxickým faktorom a boli zaradení do prvej kategórie. </w:t>
      </w:r>
    </w:p>
    <w:p w14:paraId="00000136"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Počet dotknutých subjektov</w:t>
      </w:r>
      <w:r>
        <w:rPr>
          <w:rFonts w:ascii="Times New Roman" w:eastAsia="Times New Roman" w:hAnsi="Times New Roman" w:cs="Times New Roman"/>
          <w:sz w:val="24"/>
          <w:szCs w:val="24"/>
        </w:rPr>
        <w:t xml:space="preserve"> – počet dotknutých subjektov sa určil priemerom počtu rozhodnutí súvisiacich s návrhom na činnosti spojené s expozíciou pri výrobe, spracovaní, manipulácii, skladovaní, preprave a zneškodňovaní karcinogénnych faktorov, mutagénnych faktorov a reprodukčne toxických faktorov uvedených vo výročných správach o činností úradov verejného zdravotníctva</w:t>
      </w:r>
      <w:r>
        <w:rPr>
          <w:rFonts w:ascii="Times New Roman" w:eastAsia="Times New Roman" w:hAnsi="Times New Roman" w:cs="Times New Roman"/>
          <w:sz w:val="24"/>
          <w:szCs w:val="24"/>
          <w:vertAlign w:val="superscript"/>
        </w:rPr>
        <w:footnoteReference w:id="3"/>
      </w:r>
      <w:r>
        <w:rPr>
          <w:rFonts w:ascii="Times New Roman" w:eastAsia="Times New Roman" w:hAnsi="Times New Roman" w:cs="Times New Roman"/>
          <w:sz w:val="24"/>
          <w:szCs w:val="24"/>
        </w:rPr>
        <w:t xml:space="preserve"> - 396 rozhodnutí / 3 = 132 (priemer rozhodnutí za rok) / 4 (4 kategórie rizika) = 33 (priemer za roky 2024, 2023, 2022 delený počtom kategórií). Presný počet rozhodnutí pre prvú kategóriu nevieme presne určiť. </w:t>
      </w:r>
    </w:p>
    <w:p w14:paraId="00000137"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Rok 2024 – 200 rozhodnutí</w:t>
      </w:r>
    </w:p>
    <w:p w14:paraId="00000138"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Rok 2023 – 94 rozhodnutí</w:t>
      </w:r>
    </w:p>
    <w:p w14:paraId="00000139"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Rok 2022 – 102 rozhodnutí</w:t>
      </w:r>
    </w:p>
    <w:p w14:paraId="0000013A"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 xml:space="preserve">Priame finančné náklady – Iné poplatky </w:t>
      </w:r>
      <w:r>
        <w:rPr>
          <w:rFonts w:ascii="Times New Roman" w:eastAsia="Times New Roman" w:hAnsi="Times New Roman" w:cs="Times New Roman"/>
          <w:sz w:val="24"/>
          <w:szCs w:val="24"/>
        </w:rPr>
        <w:t xml:space="preserve">(na 1 podnikateľa) 38 €. Správny poplatok za podanie žiadosti o vydanie rozhodnutia je podľa položky 150 písm. f) zákona č. 145/1995 Z. z. o správnych poplatkoch v znení neskorších predpisov vo výške 50 € pri listinnom podaní; pri podaní elektronickými prostriedkami alebo prostredníctvom integrovaného obslužného miesta je správny poplatok 25 € (§ 6 ods. 2 zákona č. 145/1995 Z. z.). Vzhľadom na to, že sa nevykonáva štatistické zisťovanie spôsobu podania (listinne/elektronickými prostriedkami) je do kalkulačky nákladov k predmetnej regulácii uvedená priemerná hodnota listinného podania a elektronického podania 38 €. </w:t>
      </w:r>
    </w:p>
    <w:p w14:paraId="0000013B"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lastRenderedPageBreak/>
        <w:t>Frekvencia plnenia povinnosti</w:t>
      </w:r>
      <w:r>
        <w:rPr>
          <w:rFonts w:ascii="Times New Roman" w:eastAsia="Times New Roman" w:hAnsi="Times New Roman" w:cs="Times New Roman"/>
          <w:sz w:val="24"/>
          <w:szCs w:val="24"/>
        </w:rPr>
        <w:t xml:space="preserve"> – jednorazovo</w:t>
      </w:r>
    </w:p>
    <w:p w14:paraId="0000013C" w14:textId="77777777" w:rsidR="00EB1A0E" w:rsidRDefault="00867128">
      <w:pPr>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u w:val="single"/>
        </w:rPr>
        <w:t>Druh vplyvu</w:t>
      </w:r>
      <w:r>
        <w:rPr>
          <w:rFonts w:ascii="Times New Roman" w:eastAsia="Times New Roman" w:hAnsi="Times New Roman" w:cs="Times New Roman"/>
          <w:sz w:val="24"/>
          <w:szCs w:val="24"/>
        </w:rPr>
        <w:t xml:space="preserve"> – </w:t>
      </w:r>
      <w:r>
        <w:rPr>
          <w:rFonts w:ascii="Times New Roman" w:eastAsia="Times New Roman" w:hAnsi="Times New Roman" w:cs="Times New Roman"/>
          <w:b/>
          <w:sz w:val="24"/>
          <w:szCs w:val="24"/>
        </w:rPr>
        <w:t xml:space="preserve">pozitívny vplyv na podnikateľské prostredie. </w:t>
      </w:r>
    </w:p>
    <w:p w14:paraId="0000013D"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Ušetrené náklady pre podnikateľské subjekty predstavujú približne 313 € pre všetky dotknuté subjekty spolu. </w:t>
      </w:r>
    </w:p>
    <w:sdt>
      <w:sdtPr>
        <w:tag w:val="goog_rdk_7"/>
        <w:id w:val="-395514482"/>
      </w:sdtPr>
      <w:sdtContent>
        <w:p w14:paraId="0000013E" w14:textId="77777777" w:rsidR="00EB1A0E" w:rsidRDefault="00000000">
          <w:pPr>
            <w:spacing w:line="276" w:lineRule="auto"/>
            <w:jc w:val="both"/>
            <w:rPr>
              <w:rFonts w:ascii="Times New Roman" w:eastAsia="Times New Roman" w:hAnsi="Times New Roman" w:cs="Times New Roman"/>
              <w:sz w:val="24"/>
              <w:szCs w:val="24"/>
            </w:rPr>
          </w:pPr>
          <w:sdt>
            <w:sdtPr>
              <w:tag w:val="goog_rdk_6"/>
              <w:id w:val="-1398595829"/>
            </w:sdtPr>
            <w:sdtContent/>
          </w:sdt>
        </w:p>
      </w:sdtContent>
    </w:sdt>
    <w:sdt>
      <w:sdtPr>
        <w:tag w:val="goog_rdk_11"/>
        <w:id w:val="403084485"/>
      </w:sdtPr>
      <w:sdtContent>
        <w:p w14:paraId="0000013F" w14:textId="77777777" w:rsidR="00EB1A0E" w:rsidRPr="00D12078" w:rsidRDefault="00000000">
          <w:pPr>
            <w:spacing w:after="240" w:line="276" w:lineRule="auto"/>
            <w:jc w:val="both"/>
            <w:rPr>
              <w:rFonts w:ascii="Times New Roman" w:eastAsia="Times New Roman" w:hAnsi="Times New Roman" w:cs="Times New Roman"/>
              <w:b/>
              <w:i/>
              <w:sz w:val="24"/>
              <w:szCs w:val="24"/>
              <w:u w:val="single"/>
              <w:vertAlign w:val="superscript"/>
            </w:rPr>
          </w:pPr>
          <w:sdt>
            <w:sdtPr>
              <w:tag w:val="goog_rdk_8"/>
              <w:id w:val="-824324895"/>
            </w:sdtPr>
            <w:sdtContent>
              <w:sdt>
                <w:sdtPr>
                  <w:tag w:val="goog_rdk_9"/>
                  <w:id w:val="2014928917"/>
                </w:sdtPr>
                <w:sdtContent>
                  <w:r w:rsidR="00867128" w:rsidRPr="00D12078">
                    <w:rPr>
                      <w:rFonts w:ascii="Times New Roman" w:eastAsia="Times New Roman" w:hAnsi="Times New Roman" w:cs="Times New Roman"/>
                      <w:b/>
                      <w:i/>
                      <w:sz w:val="24"/>
                      <w:szCs w:val="24"/>
                      <w:u w:val="single"/>
                    </w:rPr>
                    <w:t>3.1.4 Odôvodnenie goldplatingu podľa bodu 4 časti III jednotnej metodiky a ďalšie doplňujúce informácie</w:t>
                  </w:r>
                </w:sdtContent>
              </w:sdt>
              <w:sdt>
                <w:sdtPr>
                  <w:tag w:val="goog_rdk_10"/>
                  <w:id w:val="-755898175"/>
                </w:sdtPr>
                <w:sdtContent>
                  <w:r w:rsidR="00867128" w:rsidRPr="00D12078">
                    <w:rPr>
                      <w:rFonts w:ascii="Times New Roman" w:eastAsia="Times New Roman" w:hAnsi="Times New Roman" w:cs="Times New Roman"/>
                      <w:b/>
                      <w:i/>
                      <w:sz w:val="24"/>
                      <w:szCs w:val="24"/>
                      <w:u w:val="single"/>
                      <w:vertAlign w:val="superscript"/>
                    </w:rPr>
                    <w:t>5</w:t>
                  </w:r>
                </w:sdtContent>
              </w:sdt>
            </w:sdtContent>
          </w:sdt>
        </w:p>
      </w:sdtContent>
    </w:sdt>
    <w:sdt>
      <w:sdtPr>
        <w:tag w:val="goog_rdk_14"/>
        <w:id w:val="1279826882"/>
      </w:sdtPr>
      <w:sdtContent>
        <w:p w14:paraId="00000140" w14:textId="77777777" w:rsidR="00EB1A0E" w:rsidRPr="00D12078" w:rsidRDefault="00000000">
          <w:pPr>
            <w:spacing w:before="240" w:after="240" w:line="276" w:lineRule="auto"/>
            <w:jc w:val="both"/>
            <w:rPr>
              <w:rFonts w:ascii="Times New Roman" w:eastAsia="Times New Roman" w:hAnsi="Times New Roman" w:cs="Times New Roman"/>
              <w:sz w:val="24"/>
              <w:szCs w:val="24"/>
            </w:rPr>
          </w:pPr>
          <w:sdt>
            <w:sdtPr>
              <w:tag w:val="goog_rdk_12"/>
              <w:id w:val="1686810692"/>
            </w:sdtPr>
            <w:sdtContent>
              <w:sdt>
                <w:sdtPr>
                  <w:tag w:val="goog_rdk_13"/>
                  <w:id w:val="-548415599"/>
                </w:sdtPr>
                <w:sdtContent>
                  <w:r w:rsidR="00867128" w:rsidRPr="00D12078">
                    <w:rPr>
                      <w:rFonts w:ascii="Times New Roman" w:eastAsia="Times New Roman" w:hAnsi="Times New Roman" w:cs="Times New Roman"/>
                      <w:sz w:val="24"/>
                      <w:szCs w:val="24"/>
                    </w:rPr>
                    <w:t>Požadované informácie uveďte osobitne ku každému identifikovanému goldplatingu (ku každej hodnotenej regulácii s goldplatingom osobitne).</w:t>
                  </w:r>
                </w:sdtContent>
              </w:sdt>
            </w:sdtContent>
          </w:sdt>
        </w:p>
      </w:sdtContent>
    </w:sdt>
    <w:sdt>
      <w:sdtPr>
        <w:tag w:val="goog_rdk_17"/>
        <w:id w:val="-377865106"/>
      </w:sdtPr>
      <w:sdtContent>
        <w:p w14:paraId="00000141" w14:textId="77777777" w:rsidR="00EB1A0E" w:rsidRPr="00D12078" w:rsidRDefault="00000000">
          <w:pPr>
            <w:spacing w:before="240" w:after="240" w:line="276" w:lineRule="auto"/>
            <w:jc w:val="both"/>
            <w:rPr>
              <w:rFonts w:ascii="Times New Roman" w:eastAsia="Times New Roman" w:hAnsi="Times New Roman" w:cs="Times New Roman"/>
              <w:i/>
              <w:sz w:val="24"/>
              <w:szCs w:val="24"/>
            </w:rPr>
          </w:pPr>
          <w:sdt>
            <w:sdtPr>
              <w:tag w:val="goog_rdk_15"/>
              <w:id w:val="1563971899"/>
            </w:sdtPr>
            <w:sdtContent>
              <w:sdt>
                <w:sdtPr>
                  <w:tag w:val="goog_rdk_16"/>
                  <w:id w:val="371518035"/>
                </w:sdtPr>
                <w:sdtContent>
                  <w:r w:rsidR="00867128" w:rsidRPr="00D12078">
                    <w:rPr>
                      <w:rFonts w:ascii="Times New Roman" w:eastAsia="Times New Roman" w:hAnsi="Times New Roman" w:cs="Times New Roman"/>
                      <w:i/>
                      <w:sz w:val="24"/>
                      <w:szCs w:val="24"/>
                    </w:rPr>
                    <w:t>Uveďte odôvodnenie goldplatingu z hľadiska jeho nespochybniteľnej nevyhnutnosti. Odôvodnenie doložte dôkladným hodnotením prínosov a nákladov. Uveďte zvážené alternatívne riešenia.</w:t>
                  </w:r>
                </w:sdtContent>
              </w:sdt>
            </w:sdtContent>
          </w:sdt>
        </w:p>
      </w:sdtContent>
    </w:sdt>
    <w:sdt>
      <w:sdtPr>
        <w:tag w:val="goog_rdk_20"/>
        <w:id w:val="-1105157935"/>
      </w:sdtPr>
      <w:sdtContent>
        <w:p w14:paraId="00000142" w14:textId="77777777" w:rsidR="00EB1A0E" w:rsidRPr="00D12078" w:rsidRDefault="00000000">
          <w:pPr>
            <w:spacing w:before="240" w:after="240" w:line="276" w:lineRule="auto"/>
            <w:jc w:val="both"/>
            <w:rPr>
              <w:rFonts w:ascii="Times New Roman" w:eastAsia="Times New Roman" w:hAnsi="Times New Roman" w:cs="Times New Roman"/>
              <w:i/>
              <w:sz w:val="24"/>
              <w:szCs w:val="24"/>
            </w:rPr>
          </w:pPr>
          <w:sdt>
            <w:sdtPr>
              <w:tag w:val="goog_rdk_18"/>
              <w:id w:val="1829736114"/>
            </w:sdtPr>
            <w:sdtContent>
              <w:sdt>
                <w:sdtPr>
                  <w:tag w:val="goog_rdk_19"/>
                  <w:id w:val="10248343"/>
                </w:sdtPr>
                <w:sdtContent>
                  <w:r w:rsidR="00867128" w:rsidRPr="00D12078">
                    <w:rPr>
                      <w:rFonts w:ascii="Times New Roman" w:eastAsia="Times New Roman" w:hAnsi="Times New Roman" w:cs="Times New Roman"/>
                      <w:i/>
                      <w:sz w:val="24"/>
                      <w:szCs w:val="24"/>
                    </w:rPr>
                    <w:t>Zároveň uveďte konkrétne informácie súvisiace s kategóriou goldplatingu podľa jednotnej metodiky, najmä: na aké subjekty sa nad rámec navrhuje rozšíriť pôsobnosť smernice a z akého dôvodu; aké požiadavky sa navyšujú a na aké subjekty nad rámec minimálnych požiadaviek smernice; aká menej prísnejšia výnimka alebo úprava vyplývajúca zo smernice nebola využitá a prečo; z akého dôvodu sa navrhujú prísnejšie sankčné režimy; z akého dôvodu sa navrhuje skoršia transpozícia; z akého dôvodu sa ponechávajú v platnosti už existujúce prísnejšie vnútroštátne požiadavky.</w:t>
                  </w:r>
                </w:sdtContent>
              </w:sdt>
            </w:sdtContent>
          </w:sdt>
        </w:p>
      </w:sdtContent>
    </w:sdt>
    <w:sdt>
      <w:sdtPr>
        <w:tag w:val="goog_rdk_23"/>
        <w:id w:val="-1997690902"/>
      </w:sdtPr>
      <w:sdtContent>
        <w:p w14:paraId="00000143" w14:textId="77777777" w:rsidR="00EB1A0E" w:rsidRPr="00D12078" w:rsidRDefault="00000000">
          <w:pPr>
            <w:spacing w:before="240" w:after="240" w:line="276" w:lineRule="auto"/>
            <w:jc w:val="both"/>
            <w:rPr>
              <w:rFonts w:ascii="Times New Roman" w:eastAsia="Times New Roman" w:hAnsi="Times New Roman" w:cs="Times New Roman"/>
              <w:i/>
              <w:color w:val="EE0000"/>
              <w:sz w:val="24"/>
              <w:szCs w:val="24"/>
            </w:rPr>
          </w:pPr>
          <w:sdt>
            <w:sdtPr>
              <w:tag w:val="goog_rdk_21"/>
              <w:id w:val="1582847710"/>
            </w:sdtPr>
            <w:sdtContent>
              <w:sdt>
                <w:sdtPr>
                  <w:tag w:val="goog_rdk_22"/>
                  <w:id w:val="-304078515"/>
                </w:sdtPr>
                <w:sdtContent>
                  <w:r w:rsidR="00867128" w:rsidRPr="00D12078">
                    <w:rPr>
                      <w:rFonts w:ascii="Times New Roman" w:eastAsia="Times New Roman" w:hAnsi="Times New Roman" w:cs="Times New Roman"/>
                      <w:i/>
                      <w:sz w:val="24"/>
                      <w:szCs w:val="24"/>
                    </w:rPr>
                    <w:t>Využitie goldplatingu pri transpozícii alebo implementácii legislatívy EÚ je v zásade nežiadúce, keďže takýto postup môže viesť k zníženiu konkurencieschopnosti domácich podnikov v porovnaní s podnikmi z krajín, kde právne predpisy nie sú natoľko prísne. Využitie goldplatingu predkladateľom je preto prípustné iba vo výnimočných prípadoch, riadne odôvodnených a vysvetlených v analýze vplyvov na podnikateľské prostredie z hľadiska jeho nevyhnutnosti, spoločenského významu, nákladov, prekonzultovaných s dotknutými podnikateľmi a posúdených Komisiou.</w:t>
                  </w:r>
                </w:sdtContent>
              </w:sdt>
            </w:sdtContent>
          </w:sdt>
        </w:p>
      </w:sdtContent>
    </w:sdt>
    <w:sdt>
      <w:sdtPr>
        <w:tag w:val="goog_rdk_25"/>
        <w:id w:val="-1350416783"/>
      </w:sdtPr>
      <w:sdtContent>
        <w:p w14:paraId="00000144" w14:textId="77777777" w:rsidR="00EB1A0E" w:rsidRPr="00D12078" w:rsidRDefault="00000000">
          <w:pPr>
            <w:spacing w:line="276" w:lineRule="auto"/>
            <w:jc w:val="both"/>
            <w:rPr>
              <w:rFonts w:ascii="Times New Roman" w:eastAsia="Times New Roman" w:hAnsi="Times New Roman" w:cs="Times New Roman"/>
              <w:sz w:val="24"/>
              <w:szCs w:val="24"/>
            </w:rPr>
          </w:pPr>
          <w:sdt>
            <w:sdtPr>
              <w:tag w:val="goog_rdk_24"/>
              <w:id w:val="3153999"/>
            </w:sdtPr>
            <w:sdtContent/>
          </w:sdt>
        </w:p>
      </w:sdtContent>
    </w:sdt>
    <w:p w14:paraId="00000145" w14:textId="77777777" w:rsidR="00EB1A0E" w:rsidRDefault="00867128">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3.2 Vyhodnotenie konzultácií s podnikateľskými subjektmi pred predbežným pripomienkovým konaním</w:t>
      </w:r>
    </w:p>
    <w:sdt>
      <w:sdtPr>
        <w:tag w:val="goog_rdk_27"/>
        <w:id w:val="1091248279"/>
      </w:sdtPr>
      <w:sdtContent>
        <w:p w14:paraId="00000146" w14:textId="77777777" w:rsidR="00EB1A0E" w:rsidRDefault="00867128">
          <w:pPr>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portáli Slov-lex bola 20.11.2024 uverejnená predbežná informácia k novele zákona č. 355/2007 Z. z. (</w:t>
          </w:r>
          <w:hyperlink r:id="rId12">
            <w:r>
              <w:rPr>
                <w:rFonts w:ascii="Times New Roman" w:eastAsia="Times New Roman" w:hAnsi="Times New Roman" w:cs="Times New Roman"/>
                <w:color w:val="0000FF"/>
                <w:sz w:val="24"/>
                <w:szCs w:val="24"/>
                <w:u w:val="single"/>
              </w:rPr>
              <w:t>PI/2024/304</w:t>
            </w:r>
          </w:hyperlink>
          <w:r>
            <w:rPr>
              <w:rFonts w:ascii="Times New Roman" w:eastAsia="Times New Roman" w:hAnsi="Times New Roman" w:cs="Times New Roman"/>
              <w:sz w:val="24"/>
              <w:szCs w:val="24"/>
            </w:rPr>
            <w:t>) a 22.12.2024 boli uverejnené predbežné informácie k NV SR /nové NV SR – azbest (</w:t>
          </w:r>
          <w:hyperlink r:id="rId13">
            <w:r>
              <w:rPr>
                <w:rFonts w:ascii="Times New Roman" w:eastAsia="Times New Roman" w:hAnsi="Times New Roman" w:cs="Times New Roman"/>
                <w:color w:val="0000FF"/>
                <w:sz w:val="24"/>
                <w:szCs w:val="24"/>
                <w:u w:val="single"/>
              </w:rPr>
              <w:t>PI/2024/337</w:t>
            </w:r>
          </w:hyperlink>
          <w:r>
            <w:rPr>
              <w:rFonts w:ascii="Times New Roman" w:eastAsia="Times New Roman" w:hAnsi="Times New Roman" w:cs="Times New Roman"/>
              <w:sz w:val="24"/>
              <w:szCs w:val="24"/>
            </w:rPr>
            <w:t>); novely NV SR  č. 121/2024 Z. z. (</w:t>
          </w:r>
          <w:hyperlink r:id="rId14">
            <w:r>
              <w:rPr>
                <w:rFonts w:ascii="Times New Roman" w:eastAsia="Times New Roman" w:hAnsi="Times New Roman" w:cs="Times New Roman"/>
                <w:color w:val="0000FF"/>
                <w:sz w:val="24"/>
                <w:szCs w:val="24"/>
                <w:u w:val="single"/>
              </w:rPr>
              <w:t>PI/2024/340</w:t>
            </w:r>
          </w:hyperlink>
          <w:r>
            <w:rPr>
              <w:rFonts w:ascii="Times New Roman" w:eastAsia="Times New Roman" w:hAnsi="Times New Roman" w:cs="Times New Roman"/>
              <w:sz w:val="24"/>
              <w:szCs w:val="24"/>
            </w:rPr>
            <w:t>),  NV SR  č. 355/2006 Z. z. (</w:t>
          </w:r>
          <w:hyperlink r:id="rId15">
            <w:r>
              <w:rPr>
                <w:rFonts w:ascii="Times New Roman" w:eastAsia="Times New Roman" w:hAnsi="Times New Roman" w:cs="Times New Roman"/>
                <w:color w:val="0000FF"/>
                <w:sz w:val="24"/>
                <w:szCs w:val="24"/>
                <w:u w:val="single"/>
              </w:rPr>
              <w:t>PI/2024/339</w:t>
            </w:r>
          </w:hyperlink>
          <w:r>
            <w:rPr>
              <w:rFonts w:ascii="Times New Roman" w:eastAsia="Times New Roman" w:hAnsi="Times New Roman" w:cs="Times New Roman"/>
              <w:sz w:val="24"/>
              <w:szCs w:val="24"/>
            </w:rPr>
            <w:t>)  a NV SR  č. 281/2006 Z. z. (</w:t>
          </w:r>
          <w:hyperlink r:id="rId16">
            <w:r>
              <w:rPr>
                <w:rFonts w:ascii="Times New Roman" w:eastAsia="Times New Roman" w:hAnsi="Times New Roman" w:cs="Times New Roman"/>
                <w:color w:val="0000FF"/>
                <w:sz w:val="24"/>
                <w:szCs w:val="24"/>
                <w:u w:val="single"/>
              </w:rPr>
              <w:t>PI/2024/338</w:t>
            </w:r>
          </w:hyperlink>
          <w:r>
            <w:rPr>
              <w:rFonts w:ascii="Times New Roman" w:eastAsia="Times New Roman" w:hAnsi="Times New Roman" w:cs="Times New Roman"/>
              <w:sz w:val="24"/>
              <w:szCs w:val="24"/>
            </w:rPr>
            <w:t>)/. V súčasnosti môžu dotknuté subjekty konzultovať na požiadanie pripravené legislatívne návrhy, ktoré sú uverejnené na portáli ÚVZ</w:t>
          </w:r>
          <w:sdt>
            <w:sdtPr>
              <w:tag w:val="goog_rdk_26"/>
              <w:id w:val="133302684"/>
            </w:sdtPr>
            <w:sdtContent/>
          </w:sdt>
        </w:p>
      </w:sdtContent>
    </w:sdt>
    <w:sdt>
      <w:sdtPr>
        <w:tag w:val="goog_rdk_28"/>
        <w:id w:val="-191007131"/>
      </w:sdtPr>
      <w:sdtContent>
        <w:p w14:paraId="00000147" w14:textId="77777777" w:rsidR="00EB1A0E" w:rsidRDefault="00867128" w:rsidP="00D1207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hyperlink r:id="rId17">
            <w:r>
              <w:rPr>
                <w:rFonts w:ascii="Times New Roman" w:eastAsia="Times New Roman" w:hAnsi="Times New Roman" w:cs="Times New Roman"/>
                <w:color w:val="0000FF"/>
                <w:sz w:val="24"/>
                <w:szCs w:val="24"/>
                <w:u w:val="single"/>
              </w:rPr>
              <w:t>https://www.uvzsr.sk/web/uvz/konzultacie-s-dotknutymi-subjektami</w:t>
            </w:r>
          </w:hyperlink>
          <w:r>
            <w:rPr>
              <w:rFonts w:ascii="Times New Roman" w:eastAsia="Times New Roman" w:hAnsi="Times New Roman" w:cs="Times New Roman"/>
              <w:sz w:val="24"/>
              <w:szCs w:val="24"/>
            </w:rPr>
            <w:t xml:space="preserve">. </w:t>
          </w:r>
        </w:p>
      </w:sdtContent>
    </w:sdt>
    <w:p w14:paraId="00000148" w14:textId="77777777" w:rsidR="00EB1A0E" w:rsidRDefault="00EB1A0E">
      <w:pPr>
        <w:ind w:firstLine="708"/>
        <w:jc w:val="both"/>
        <w:rPr>
          <w:rFonts w:ascii="Times New Roman" w:eastAsia="Times New Roman" w:hAnsi="Times New Roman" w:cs="Times New Roman"/>
          <w:sz w:val="24"/>
          <w:szCs w:val="24"/>
        </w:rPr>
      </w:pPr>
    </w:p>
    <w:p w14:paraId="00000149" w14:textId="77777777" w:rsidR="00EB1A0E" w:rsidRDefault="00EB1A0E">
      <w:pPr>
        <w:ind w:firstLine="708"/>
        <w:jc w:val="both"/>
        <w:rPr>
          <w:rFonts w:ascii="Times New Roman" w:eastAsia="Times New Roman" w:hAnsi="Times New Roman" w:cs="Times New Roman"/>
          <w:sz w:val="24"/>
          <w:szCs w:val="24"/>
        </w:rPr>
      </w:pPr>
    </w:p>
    <w:p w14:paraId="0000014A" w14:textId="77777777" w:rsidR="00EB1A0E" w:rsidRDefault="00EB1A0E">
      <w:pPr>
        <w:spacing w:after="0"/>
        <w:jc w:val="both"/>
        <w:rPr>
          <w:rFonts w:ascii="Times New Roman" w:eastAsia="Times New Roman" w:hAnsi="Times New Roman" w:cs="Times New Roman"/>
          <w:i/>
          <w:sz w:val="24"/>
          <w:szCs w:val="24"/>
        </w:rPr>
      </w:pPr>
    </w:p>
    <w:p w14:paraId="0000014B" w14:textId="77777777" w:rsidR="00EB1A0E" w:rsidRDefault="00867128">
      <w:pPr>
        <w:jc w:val="both"/>
        <w:rPr>
          <w:rFonts w:ascii="Times New Roman" w:eastAsia="Times New Roman" w:hAnsi="Times New Roman" w:cs="Times New Roman"/>
          <w:b/>
          <w:sz w:val="24"/>
          <w:szCs w:val="24"/>
        </w:rPr>
      </w:pPr>
      <w:bookmarkStart w:id="0" w:name="_heading=h.rxbxqvvz1ff" w:colFirst="0" w:colLast="0"/>
      <w:bookmarkEnd w:id="0"/>
      <w:r>
        <w:rPr>
          <w:rFonts w:ascii="Times New Roman" w:eastAsia="Times New Roman" w:hAnsi="Times New Roman" w:cs="Times New Roman"/>
          <w:b/>
          <w:sz w:val="24"/>
          <w:szCs w:val="24"/>
        </w:rPr>
        <w:t>3.3 Vplyvy na konkurencieschopnosť a produktivitu</w:t>
      </w:r>
    </w:p>
    <w:p w14:paraId="0000014C" w14:textId="77777777" w:rsidR="00EB1A0E" w:rsidRDefault="00867128">
      <w:pPr>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 základe charakteru návrhu sa nepredpokladá vytvorenie bariér pre vstup na trh pre nových podnikateľov. Navrhované zmeny v tejto fáze nepredpokladajú prísnejšiu reguláciu správania sa niektorých podnikov. Takisto sa nepredpokladá rôzne zaobchádzanie s niektorými podnikmi v porovnateľnej situácii. To znamená, že sa nepočíta so zavedením špeciálnych režimov pre mikropodniky, malé a stredné podniky.</w:t>
      </w:r>
    </w:p>
    <w:p w14:paraId="0000014D" w14:textId="77777777" w:rsidR="00EB1A0E" w:rsidRDefault="00867128">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Nepredpokladá sa vplyv na inovácie, vedu a výskum.  </w:t>
      </w:r>
    </w:p>
    <w:p w14:paraId="0000014E" w14:textId="77777777" w:rsidR="00EB1A0E" w:rsidRDefault="00EB1A0E">
      <w:pPr>
        <w:spacing w:after="0"/>
        <w:jc w:val="both"/>
        <w:rPr>
          <w:rFonts w:ascii="Times New Roman" w:eastAsia="Times New Roman" w:hAnsi="Times New Roman" w:cs="Times New Roman"/>
          <w:i/>
          <w:sz w:val="24"/>
          <w:szCs w:val="24"/>
        </w:rPr>
      </w:pPr>
    </w:p>
    <w:p w14:paraId="0000014F" w14:textId="77777777" w:rsidR="00EB1A0E" w:rsidRDefault="00867128">
      <w:pPr>
        <w:spacing w:after="0"/>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Konkurencieschopnosť:</w:t>
      </w:r>
    </w:p>
    <w:p w14:paraId="00000150" w14:textId="77777777" w:rsidR="00EB1A0E" w:rsidRDefault="00000000">
      <w:pPr>
        <w:spacing w:after="0"/>
        <w:jc w:val="both"/>
        <w:rPr>
          <w:rFonts w:ascii="Times New Roman" w:eastAsia="Times New Roman" w:hAnsi="Times New Roman" w:cs="Times New Roman"/>
          <w:i/>
          <w:sz w:val="24"/>
          <w:szCs w:val="24"/>
        </w:rPr>
      </w:pPr>
      <w:sdt>
        <w:sdtPr>
          <w:tag w:val="goog_rdk_29"/>
          <w:id w:val="-795769711"/>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zvyšuje  </w:t>
      </w:r>
      <w:r w:rsidR="00867128">
        <w:rPr>
          <w:rFonts w:ascii="Times New Roman" w:eastAsia="Times New Roman" w:hAnsi="Times New Roman" w:cs="Times New Roman"/>
          <w:i/>
          <w:sz w:val="24"/>
          <w:szCs w:val="24"/>
        </w:rPr>
        <w:tab/>
      </w:r>
      <w:sdt>
        <w:sdtPr>
          <w:tag w:val="goog_rdk_30"/>
          <w:id w:val="-1302031292"/>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nemení</w:t>
      </w:r>
      <w:r w:rsidR="00867128">
        <w:rPr>
          <w:rFonts w:ascii="Times New Roman" w:eastAsia="Times New Roman" w:hAnsi="Times New Roman" w:cs="Times New Roman"/>
          <w:i/>
          <w:sz w:val="24"/>
          <w:szCs w:val="24"/>
        </w:rPr>
        <w:tab/>
      </w:r>
      <w:sdt>
        <w:sdtPr>
          <w:tag w:val="goog_rdk_31"/>
          <w:id w:val="984994282"/>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znižuje</w:t>
      </w:r>
    </w:p>
    <w:p w14:paraId="00000151" w14:textId="77777777" w:rsidR="00EB1A0E" w:rsidRDefault="00EB1A0E">
      <w:pPr>
        <w:spacing w:after="0"/>
        <w:jc w:val="both"/>
        <w:rPr>
          <w:rFonts w:ascii="Times New Roman" w:eastAsia="Times New Roman" w:hAnsi="Times New Roman" w:cs="Times New Roman"/>
          <w:i/>
          <w:sz w:val="24"/>
          <w:szCs w:val="24"/>
        </w:rPr>
      </w:pPr>
    </w:p>
    <w:p w14:paraId="00000152" w14:textId="77777777" w:rsidR="00EB1A0E" w:rsidRDefault="00867128">
      <w:pPr>
        <w:spacing w:after="0"/>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Produktivita:</w:t>
      </w:r>
    </w:p>
    <w:p w14:paraId="00000153" w14:textId="77777777" w:rsidR="00EB1A0E" w:rsidRDefault="00867128">
      <w:pPr>
        <w:spacing w:after="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Aký má materiál vplyv na zmenu pomeru medzi produkciou podnikov a ich nákladmi? </w:t>
      </w:r>
    </w:p>
    <w:p w14:paraId="00000154" w14:textId="77777777" w:rsidR="00EB1A0E" w:rsidRDefault="00000000">
      <w:pPr>
        <w:spacing w:after="0"/>
        <w:jc w:val="both"/>
        <w:rPr>
          <w:rFonts w:ascii="Times New Roman" w:eastAsia="Times New Roman" w:hAnsi="Times New Roman" w:cs="Times New Roman"/>
          <w:i/>
          <w:sz w:val="24"/>
          <w:szCs w:val="24"/>
        </w:rPr>
      </w:pPr>
      <w:sdt>
        <w:sdtPr>
          <w:tag w:val="goog_rdk_32"/>
          <w:id w:val="-1246359734"/>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zvyšuje  </w:t>
      </w:r>
      <w:r w:rsidR="00867128">
        <w:rPr>
          <w:rFonts w:ascii="Times New Roman" w:eastAsia="Times New Roman" w:hAnsi="Times New Roman" w:cs="Times New Roman"/>
          <w:i/>
          <w:sz w:val="24"/>
          <w:szCs w:val="24"/>
        </w:rPr>
        <w:tab/>
      </w:r>
      <w:sdt>
        <w:sdtPr>
          <w:tag w:val="goog_rdk_33"/>
          <w:id w:val="44027463"/>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nemení</w:t>
      </w:r>
      <w:r w:rsidR="00867128">
        <w:rPr>
          <w:rFonts w:ascii="Times New Roman" w:eastAsia="Times New Roman" w:hAnsi="Times New Roman" w:cs="Times New Roman"/>
          <w:i/>
          <w:sz w:val="24"/>
          <w:szCs w:val="24"/>
        </w:rPr>
        <w:tab/>
      </w:r>
      <w:sdt>
        <w:sdtPr>
          <w:tag w:val="goog_rdk_34"/>
          <w:id w:val="88345809"/>
        </w:sdtPr>
        <w:sdtContent>
          <w:r w:rsidR="00867128">
            <w:rPr>
              <w:rFonts w:ascii="Arial Unicode MS" w:eastAsia="Arial Unicode MS" w:hAnsi="Arial Unicode MS" w:cs="Arial Unicode MS"/>
              <w:i/>
              <w:sz w:val="24"/>
              <w:szCs w:val="24"/>
            </w:rPr>
            <w:t>☐</w:t>
          </w:r>
        </w:sdtContent>
      </w:sdt>
      <w:r w:rsidR="00867128">
        <w:rPr>
          <w:rFonts w:ascii="Times New Roman" w:eastAsia="Times New Roman" w:hAnsi="Times New Roman" w:cs="Times New Roman"/>
          <w:i/>
          <w:sz w:val="24"/>
          <w:szCs w:val="24"/>
        </w:rPr>
        <w:t xml:space="preserve"> znižuje</w:t>
      </w:r>
    </w:p>
    <w:p w14:paraId="00000155" w14:textId="77777777" w:rsidR="00EB1A0E" w:rsidRDefault="00EB1A0E">
      <w:pPr>
        <w:spacing w:after="0"/>
        <w:jc w:val="both"/>
        <w:rPr>
          <w:rFonts w:ascii="Times New Roman" w:eastAsia="Times New Roman" w:hAnsi="Times New Roman" w:cs="Times New Roman"/>
          <w:i/>
          <w:sz w:val="24"/>
          <w:szCs w:val="24"/>
        </w:rPr>
      </w:pPr>
    </w:p>
    <w:p w14:paraId="00000156" w14:textId="77777777" w:rsidR="00EB1A0E" w:rsidRDefault="00EB1A0E">
      <w:pPr>
        <w:spacing w:after="0"/>
        <w:jc w:val="both"/>
        <w:rPr>
          <w:rFonts w:ascii="Times New Roman" w:eastAsia="Times New Roman" w:hAnsi="Times New Roman" w:cs="Times New Roman"/>
          <w:i/>
          <w:sz w:val="24"/>
          <w:szCs w:val="24"/>
        </w:rPr>
      </w:pPr>
    </w:p>
    <w:p w14:paraId="00000157" w14:textId="77777777" w:rsidR="00EB1A0E" w:rsidRDefault="00867128">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3.4  Iné vplyvy na podnikateľské prostredie </w:t>
      </w:r>
    </w:p>
    <w:p w14:paraId="00000158" w14:textId="77777777" w:rsidR="00EB1A0E" w:rsidRDefault="00EB1A0E">
      <w:pPr>
        <w:spacing w:after="0" w:line="254" w:lineRule="auto"/>
        <w:jc w:val="both"/>
        <w:rPr>
          <w:rFonts w:ascii="Times New Roman" w:eastAsia="Times New Roman" w:hAnsi="Times New Roman" w:cs="Times New Roman"/>
          <w:i/>
          <w:sz w:val="24"/>
          <w:szCs w:val="24"/>
        </w:rPr>
      </w:pPr>
    </w:p>
    <w:p w14:paraId="00000159" w14:textId="77777777" w:rsidR="00EB1A0E" w:rsidRDefault="00867128">
      <w:pPr>
        <w:spacing w:after="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Vplyvy na podnikateľské prostredie, ktoré sa nedajú vyčísliť:</w:t>
      </w:r>
    </w:p>
    <w:p w14:paraId="0000015A" w14:textId="77777777" w:rsidR="00EB1A0E" w:rsidRDefault="00EB1A0E">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p w14:paraId="0000015B" w14:textId="77777777" w:rsidR="00EB1A0E" w:rsidRDefault="00867128">
      <w:pPr>
        <w:numPr>
          <w:ilvl w:val="0"/>
          <w:numId w:val="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Zavedenie elektronického posudku o riziku (§ 30 ods. 1 písm. b) a d))</w:t>
      </w:r>
    </w:p>
    <w:p w14:paraId="0000015C" w14:textId="77777777" w:rsidR="00EB1A0E" w:rsidRDefault="00EB1A0E">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p>
    <w:sdt>
      <w:sdtPr>
        <w:tag w:val="goog_rdk_36"/>
        <w:id w:val="250204200"/>
      </w:sdtPr>
      <w:sdtContent>
        <w:p w14:paraId="0000015D" w14:textId="77777777" w:rsidR="00EB1A0E" w:rsidRDefault="00867128">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 súvislosti so zlepšovaním podnikateľského prostredia (úloha C.43 uznesenia vlády SR č. 79/2022) sa vypúšťa povinnosť zamestnávateľa zabezpečiť vypracovanie písomného záznamu o posúdení rizika, ak pracovná zdravotná služba nezistila zmenu pracovných podmienok, ktorá by mohla mať vplyv na mieru zdravotného rizika alebo kategóriu práce z hľadiska zdravotného rizika. Posudok o riziku bude mať elektronickú formu, v ktorom bude oveľa jednoduchšie vyznačiť v určenej frekvencii posúdenie zdravotného rizika, a to aj v tom prípade, keď sa nezistí zmena pracovných podmienok, ktorá by mohla mať vplyv na mieru zdravotného rizika alebo kategóriu práce z hľadiska zdravotného rizika. </w:t>
          </w:r>
          <w:sdt>
            <w:sdtPr>
              <w:tag w:val="goog_rdk_35"/>
              <w:id w:val="-1584346411"/>
            </w:sdtPr>
            <w:sdtContent/>
          </w:sdt>
        </w:p>
      </w:sdtContent>
    </w:sdt>
    <w:sdt>
      <w:sdtPr>
        <w:tag w:val="goog_rdk_39"/>
        <w:id w:val="-913176765"/>
      </w:sdtPr>
      <w:sdtContent>
        <w:p w14:paraId="0000015E" w14:textId="77777777" w:rsidR="00EB1A0E" w:rsidRPr="00D12078" w:rsidRDefault="00000000">
          <w:pPr>
            <w:pBdr>
              <w:top w:val="nil"/>
              <w:left w:val="nil"/>
              <w:bottom w:val="nil"/>
              <w:right w:val="nil"/>
              <w:between w:val="nil"/>
            </w:pBdr>
            <w:spacing w:line="276" w:lineRule="auto"/>
            <w:jc w:val="both"/>
            <w:rPr>
              <w:rFonts w:ascii="Times New Roman" w:eastAsia="Times New Roman" w:hAnsi="Times New Roman" w:cs="Times New Roman"/>
              <w:sz w:val="24"/>
              <w:szCs w:val="24"/>
            </w:rPr>
          </w:pPr>
          <w:sdt>
            <w:sdtPr>
              <w:tag w:val="goog_rdk_37"/>
              <w:id w:val="-1576025562"/>
            </w:sdtPr>
            <w:sdtContent>
              <w:sdt>
                <w:sdtPr>
                  <w:tag w:val="goog_rdk_38"/>
                  <w:id w:val="-973020047"/>
                </w:sdtPr>
                <w:sdtContent>
                  <w:r w:rsidR="00867128" w:rsidRPr="00D12078">
                    <w:rPr>
                      <w:rFonts w:ascii="Times New Roman" w:eastAsia="Times New Roman" w:hAnsi="Times New Roman" w:cs="Times New Roman"/>
                      <w:sz w:val="24"/>
                      <w:szCs w:val="24"/>
                    </w:rPr>
                    <w:t xml:space="preserve">Súčasné posudky o riziku v tlačenej forme predstavujú neefektívny spôsob evidencie údajov, aj z pohľadu manipulácie a archivácie. Po zavedení elektronických posudkov o riziku sa celý proces posudzovania zdravotných rizík na pracovisku stáva jednoznačnejším pre posudzovateľa, ktorým je pracovná zdravotná služba, pre zamestnávateľa aj pre kontrolný orgán verejného zdravotníctva. Digitalizácia posudzovania rizík umožňuje automatizáciu mnohých manuálnych procesov, ktoré boli doteraz časovo náročné a náchylné na chyby. Elektronizácia posudkov o riziku môže mať pozitívny vplyv na podnikateľské prostredie znížením nákladov spojených so spracovaním dát a administratívnymi úlohami. </w:t>
                  </w:r>
                </w:sdtContent>
              </w:sdt>
            </w:sdtContent>
          </w:sdt>
        </w:p>
      </w:sdtContent>
    </w:sdt>
    <w:sdt>
      <w:sdtPr>
        <w:tag w:val="goog_rdk_43"/>
        <w:id w:val="1003479963"/>
      </w:sdtPr>
      <w:sdtContent>
        <w:p w14:paraId="0000015F" w14:textId="77777777" w:rsidR="00EB1A0E" w:rsidRPr="00D12078" w:rsidRDefault="00000000">
          <w:pPr>
            <w:pBdr>
              <w:top w:val="nil"/>
              <w:left w:val="nil"/>
              <w:bottom w:val="nil"/>
              <w:right w:val="nil"/>
              <w:between w:val="nil"/>
            </w:pBdr>
            <w:spacing w:line="276" w:lineRule="auto"/>
            <w:jc w:val="both"/>
            <w:rPr>
              <w:rFonts w:ascii="Times New Roman" w:eastAsia="Times New Roman" w:hAnsi="Times New Roman" w:cs="Times New Roman"/>
              <w:sz w:val="24"/>
              <w:szCs w:val="24"/>
            </w:rPr>
          </w:pPr>
          <w:sdt>
            <w:sdtPr>
              <w:tag w:val="goog_rdk_40"/>
              <w:id w:val="-1150367721"/>
            </w:sdtPr>
            <w:sdtContent>
              <w:sdt>
                <w:sdtPr>
                  <w:tag w:val="goog_rdk_41"/>
                  <w:id w:val="2085466016"/>
                </w:sdtPr>
                <w:sdtContent>
                  <w:r w:rsidR="00867128" w:rsidRPr="00D12078">
                    <w:rPr>
                      <w:rFonts w:ascii="Times New Roman" w:eastAsia="Times New Roman" w:hAnsi="Times New Roman" w:cs="Times New Roman"/>
                      <w:sz w:val="24"/>
                      <w:szCs w:val="24"/>
                    </w:rPr>
                    <w:t>Po vyplnení bude mať zamestnávateľ možnosť posudok stiahnuť v elektronickej podobe alebo bude mať možnosť posudok vytlačiť, čím sa umožní prístup aj ostatným zamestnancom, odborárom alebo iným dotknutým zamestnancom. Nepredpokladáme zvýšenú časovú náročnosť v súvislosti s vypĺňaním elektronických posudkov o riziku, ale naopak úsporu nákladov súvislosti so spotrebou papiera, tonerov a archiváciou. Časová náročnosť, tak ako tomu bolo aj doteraz pri vypracovávaní posudkov o riziku, závisí od faktorov práce a pracovného prostredia a náročnosti spracovania posudku o riziku vzhľadom na pracovné podmienky, nie od návrhu zákona.</w:t>
                  </w:r>
                </w:sdtContent>
              </w:sdt>
            </w:sdtContent>
          </w:sdt>
          <w:sdt>
            <w:sdtPr>
              <w:tag w:val="goog_rdk_42"/>
              <w:id w:val="562362644"/>
            </w:sdtPr>
            <w:sdtContent/>
          </w:sdt>
        </w:p>
      </w:sdtContent>
    </w:sdt>
    <w:p w14:paraId="00000160" w14:textId="77777777" w:rsidR="00EB1A0E" w:rsidRDefault="00867128">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Kategória dotknutých subjektov</w:t>
      </w:r>
      <w:r>
        <w:rPr>
          <w:rFonts w:ascii="Times New Roman" w:eastAsia="Times New Roman" w:hAnsi="Times New Roman" w:cs="Times New Roman"/>
          <w:color w:val="000000"/>
          <w:sz w:val="24"/>
          <w:szCs w:val="24"/>
        </w:rPr>
        <w:t xml:space="preserve"> - Subjekty, ktorých sa týka povinnosť vypracovať posudok o riziku</w:t>
      </w:r>
    </w:p>
    <w:p w14:paraId="00000161" w14:textId="77777777" w:rsidR="00EB1A0E" w:rsidRDefault="00867128">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pozitívny vplyv na podnikateľské prostredie</w:t>
      </w:r>
      <w:r>
        <w:rPr>
          <w:rFonts w:ascii="Times New Roman" w:eastAsia="Times New Roman" w:hAnsi="Times New Roman" w:cs="Times New Roman"/>
          <w:color w:val="000000"/>
          <w:sz w:val="24"/>
          <w:szCs w:val="24"/>
        </w:rPr>
        <w:t xml:space="preserve">. </w:t>
      </w:r>
    </w:p>
    <w:p w14:paraId="00000162" w14:textId="77777777" w:rsidR="00EB1A0E" w:rsidRDefault="00EB1A0E">
      <w:pPr>
        <w:jc w:val="both"/>
        <w:rPr>
          <w:rFonts w:ascii="Times New Roman" w:eastAsia="Times New Roman" w:hAnsi="Times New Roman" w:cs="Times New Roman"/>
          <w:color w:val="000000"/>
          <w:sz w:val="24"/>
          <w:szCs w:val="24"/>
        </w:rPr>
      </w:pPr>
    </w:p>
    <w:p w14:paraId="00000163" w14:textId="77777777" w:rsidR="00EB1A0E" w:rsidRDefault="00867128">
      <w:pPr>
        <w:numPr>
          <w:ilvl w:val="0"/>
          <w:numId w:val="1"/>
        </w:num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Doplnenie faktoru intenzívne pulzné svetlo IPL (§ 30 ods. 1 písm. j)</w:t>
      </w:r>
    </w:p>
    <w:p w14:paraId="00000164"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Zoznam faktorov práce a pracovného prostredia, ktorým sú zamestnanci exponovaní pri práci bol doplnený o faktor intenzívne pulzné svetlo (IPL). Tento faktor je súčasťou umelého optického žiarenia. K IPL sa z hľadiska ochrany zdravia vzhľadom na obdobné biologické účinky a zdravotno-kozmetické indikácie pristupuje podobne ako k laserom.</w:t>
      </w:r>
    </w:p>
    <w:p w14:paraId="00000165"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Počet dotknutých subjektov</w:t>
      </w:r>
      <w:r>
        <w:rPr>
          <w:rFonts w:ascii="Times New Roman" w:eastAsia="Times New Roman" w:hAnsi="Times New Roman" w:cs="Times New Roman"/>
          <w:color w:val="000000"/>
          <w:sz w:val="24"/>
          <w:szCs w:val="24"/>
        </w:rPr>
        <w:t xml:space="preserve"> – nie je možné určiť počet dotknutých subjektov, Úrad verejného zdravotníctva SR nevedie evidenciu počtu zamestnávateľov, ktorých zamestnanci sú vystavení intenzívnemu pulznému svetlu (IPL).</w:t>
      </w:r>
    </w:p>
    <w:p w14:paraId="00000166"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Kategória dotknutých subjektov</w:t>
      </w:r>
      <w:r>
        <w:rPr>
          <w:rFonts w:ascii="Times New Roman" w:eastAsia="Times New Roman" w:hAnsi="Times New Roman" w:cs="Times New Roman"/>
          <w:color w:val="000000"/>
          <w:sz w:val="24"/>
          <w:szCs w:val="24"/>
        </w:rPr>
        <w:t xml:space="preserve"> – zamestnávatelia, ktorých zamestnanci sú vystavení intenzívnemu pulznému svetlu (IPL).</w:t>
      </w:r>
    </w:p>
    <w:p w14:paraId="00000167"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Náklady</w:t>
      </w:r>
      <w:r>
        <w:rPr>
          <w:rFonts w:ascii="Times New Roman" w:eastAsia="Times New Roman" w:hAnsi="Times New Roman" w:cs="Times New Roman"/>
          <w:color w:val="000000"/>
          <w:sz w:val="24"/>
          <w:szCs w:val="24"/>
        </w:rPr>
        <w:t xml:space="preserve"> – administratívne náklady súvisiace s vedením a uchovávaním evidencie zamestnancov, ktorí vykonávajú prácu zaradenú do druhej kategórie, tretej kategórie alebo štvrtej kategórie pri expozícii intenzívnemu pulznému svetlu (IPL).</w:t>
      </w:r>
    </w:p>
    <w:p w14:paraId="00000168"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negatívny vplyv na podnikateľské prostredie.</w:t>
      </w:r>
    </w:p>
    <w:p w14:paraId="00000169" w14:textId="77777777" w:rsidR="00EB1A0E" w:rsidRDefault="00EB1A0E">
      <w:pPr>
        <w:jc w:val="both"/>
        <w:rPr>
          <w:rFonts w:ascii="Times New Roman" w:eastAsia="Times New Roman" w:hAnsi="Times New Roman" w:cs="Times New Roman"/>
          <w:color w:val="000000"/>
          <w:sz w:val="24"/>
          <w:szCs w:val="24"/>
        </w:rPr>
      </w:pPr>
    </w:p>
    <w:p w14:paraId="0000016A" w14:textId="77777777" w:rsidR="00EB1A0E" w:rsidRDefault="00867128">
      <w:pPr>
        <w:numPr>
          <w:ilvl w:val="0"/>
          <w:numId w:val="1"/>
        </w:numPr>
        <w:pBdr>
          <w:top w:val="nil"/>
          <w:left w:val="nil"/>
          <w:bottom w:val="nil"/>
          <w:right w:val="nil"/>
          <w:between w:val="nil"/>
        </w:pBdr>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Kategorizácia prác z hľadiska zdravotného rizika (§ 31 ods. 7)</w:t>
      </w:r>
    </w:p>
    <w:p w14:paraId="0000016B" w14:textId="1601FAD2"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Návrhom zákona sa pridáva nový </w:t>
      </w:r>
      <w:sdt>
        <w:sdtPr>
          <w:tag w:val="goog_rdk_44"/>
          <w:id w:val="-225164171"/>
        </w:sdtPr>
        <w:sdtContent>
          <w:sdt>
            <w:sdtPr>
              <w:tag w:val="goog_rdk_45"/>
              <w:id w:val="-865583642"/>
            </w:sdtPr>
            <w:sdtContent>
              <w:r w:rsidRPr="00D12078">
                <w:rPr>
                  <w:rFonts w:ascii="Times New Roman" w:eastAsia="Times New Roman" w:hAnsi="Times New Roman" w:cs="Times New Roman"/>
                  <w:sz w:val="24"/>
                  <w:szCs w:val="24"/>
                </w:rPr>
                <w:t>odsek</w:t>
              </w:r>
            </w:sdtContent>
          </w:sdt>
        </w:sdtContent>
      </w:sdt>
      <w:sdt>
        <w:sdtPr>
          <w:tag w:val="goog_rdk_46"/>
          <w:id w:val="-2025879703"/>
        </w:sdtPr>
        <w:sdtContent>
          <w:sdt>
            <w:sdtPr>
              <w:tag w:val="goog_rdk_47"/>
              <w:id w:val="-1312000773"/>
              <w:showingPlcHdr/>
            </w:sdtPr>
            <w:sdtContent>
              <w:r w:rsidR="00D12078">
                <w:t xml:space="preserve">     </w:t>
              </w:r>
            </w:sdtContent>
          </w:sdt>
        </w:sdtContent>
      </w:sdt>
      <w:r>
        <w:rPr>
          <w:rFonts w:ascii="Times New Roman" w:eastAsia="Times New Roman" w:hAnsi="Times New Roman" w:cs="Times New Roman"/>
          <w:color w:val="000000"/>
          <w:sz w:val="24"/>
          <w:szCs w:val="24"/>
        </w:rPr>
        <w:t xml:space="preserve">, ktorý definuje, kedy sa práce </w:t>
      </w:r>
      <w:sdt>
        <w:sdtPr>
          <w:tag w:val="goog_rdk_48"/>
          <w:id w:val="362021250"/>
        </w:sdtPr>
        <w:sdtContent>
          <w:r>
            <w:rPr>
              <w:rFonts w:ascii="Times New Roman" w:eastAsia="Times New Roman" w:hAnsi="Times New Roman" w:cs="Times New Roman"/>
              <w:color w:val="000000"/>
              <w:sz w:val="24"/>
              <w:szCs w:val="24"/>
            </w:rPr>
            <w:t>ne</w:t>
          </w:r>
        </w:sdtContent>
      </w:sdt>
      <w:r>
        <w:rPr>
          <w:rFonts w:ascii="Times New Roman" w:eastAsia="Times New Roman" w:hAnsi="Times New Roman" w:cs="Times New Roman"/>
          <w:color w:val="000000"/>
          <w:sz w:val="24"/>
          <w:szCs w:val="24"/>
        </w:rPr>
        <w:t xml:space="preserve">kategorizujú z hľadiska zdravotného rizika. </w:t>
      </w:r>
      <w:sdt>
        <w:sdtPr>
          <w:tag w:val="goog_rdk_49"/>
          <w:id w:val="1079260610"/>
          <w:showingPlcHdr/>
        </w:sdtPr>
        <w:sdtContent>
          <w:r w:rsidR="00D12078">
            <w:t xml:space="preserve">     </w:t>
          </w:r>
        </w:sdtContent>
      </w:sdt>
      <w:sdt>
        <w:sdtPr>
          <w:tag w:val="goog_rdk_50"/>
          <w:id w:val="-1733508028"/>
        </w:sdtPr>
        <w:sdtContent>
          <w:sdt>
            <w:sdtPr>
              <w:tag w:val="goog_rdk_51"/>
              <w:id w:val="1291217530"/>
              <w:showingPlcHdr/>
            </w:sdtPr>
            <w:sdtContent>
              <w:r w:rsidR="00D12078">
                <w:t xml:space="preserve">     </w:t>
              </w:r>
            </w:sdtContent>
          </w:sdt>
        </w:sdtContent>
      </w:sdt>
      <w:sdt>
        <w:sdtPr>
          <w:tag w:val="goog_rdk_52"/>
          <w:id w:val="-607727222"/>
          <w:showingPlcHdr/>
        </w:sdtPr>
        <w:sdtContent>
          <w:r w:rsidR="00D12078">
            <w:t xml:space="preserve">     </w:t>
          </w:r>
        </w:sdtContent>
      </w:sdt>
      <w:r>
        <w:rPr>
          <w:rFonts w:ascii="Times New Roman" w:eastAsia="Times New Roman" w:hAnsi="Times New Roman" w:cs="Times New Roman"/>
          <w:color w:val="000000"/>
          <w:sz w:val="24"/>
          <w:szCs w:val="24"/>
        </w:rPr>
        <w:t xml:space="preserve">Ak sa na pracovisku </w:t>
      </w:r>
      <w:sdt>
        <w:sdtPr>
          <w:tag w:val="goog_rdk_53"/>
          <w:id w:val="86850202"/>
          <w:showingPlcHdr/>
        </w:sdtPr>
        <w:sdtContent>
          <w:r w:rsidR="00D12078">
            <w:t xml:space="preserve">     </w:t>
          </w:r>
        </w:sdtContent>
      </w:sdt>
      <w:r>
        <w:rPr>
          <w:rFonts w:ascii="Times New Roman" w:eastAsia="Times New Roman" w:hAnsi="Times New Roman" w:cs="Times New Roman"/>
          <w:color w:val="000000"/>
          <w:sz w:val="24"/>
          <w:szCs w:val="24"/>
        </w:rPr>
        <w:t>faktory práce a pracovného prostredia nevyskytujú, práce sa nekategorizujú, teda sa nezaraďujú do kategóri</w:t>
      </w:r>
      <w:sdt>
        <w:sdtPr>
          <w:tag w:val="goog_rdk_54"/>
          <w:id w:val="-564308125"/>
        </w:sdtPr>
        <w:sdtContent>
          <w:sdt>
            <w:sdtPr>
              <w:tag w:val="goog_rdk_55"/>
              <w:id w:val="1416061111"/>
            </w:sdtPr>
            <w:sdtContent>
              <w:r w:rsidRPr="00D12078">
                <w:rPr>
                  <w:rFonts w:ascii="Times New Roman" w:eastAsia="Times New Roman" w:hAnsi="Times New Roman" w:cs="Times New Roman"/>
                  <w:sz w:val="24"/>
                  <w:szCs w:val="24"/>
                </w:rPr>
                <w:t>í</w:t>
              </w:r>
            </w:sdtContent>
          </w:sdt>
        </w:sdtContent>
      </w:sdt>
      <w:sdt>
        <w:sdtPr>
          <w:tag w:val="goog_rdk_56"/>
          <w:id w:val="1147715539"/>
        </w:sdtPr>
        <w:sdtContent>
          <w:sdt>
            <w:sdtPr>
              <w:tag w:val="goog_rdk_57"/>
              <w:id w:val="-670916150"/>
              <w:showingPlcHdr/>
            </w:sdtPr>
            <w:sdtContent>
              <w:r w:rsidR="00D12078">
                <w:t xml:space="preserve">     </w:t>
              </w:r>
            </w:sdtContent>
          </w:sdt>
        </w:sdtContent>
      </w:sdt>
      <w:r>
        <w:rPr>
          <w:rFonts w:ascii="Times New Roman" w:eastAsia="Times New Roman" w:hAnsi="Times New Roman" w:cs="Times New Roman"/>
          <w:color w:val="000000"/>
          <w:sz w:val="24"/>
          <w:szCs w:val="24"/>
        </w:rPr>
        <w:t xml:space="preserve"> z hľadiska zdravotného rizika.</w:t>
      </w:r>
    </w:p>
    <w:p w14:paraId="0000016C"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Počet dotknutých subjektov</w:t>
      </w:r>
      <w:r>
        <w:rPr>
          <w:rFonts w:ascii="Times New Roman" w:eastAsia="Times New Roman" w:hAnsi="Times New Roman" w:cs="Times New Roman"/>
          <w:color w:val="000000"/>
          <w:sz w:val="24"/>
          <w:szCs w:val="24"/>
        </w:rPr>
        <w:t xml:space="preserve"> – nie je možné určiť počet dotknutých subjektov; Úrad verejného zdravotníctva SR nevedie evidenciu počtu zamestnancov zaradených do jednotlivých kategórií.</w:t>
      </w:r>
    </w:p>
    <w:p w14:paraId="0000016D"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Kategória dotknutých subjektov</w:t>
      </w:r>
      <w:r>
        <w:rPr>
          <w:rFonts w:ascii="Times New Roman" w:eastAsia="Times New Roman" w:hAnsi="Times New Roman" w:cs="Times New Roman"/>
          <w:color w:val="000000"/>
          <w:sz w:val="24"/>
          <w:szCs w:val="24"/>
        </w:rPr>
        <w:t xml:space="preserve"> – zamestnávatelia, ktorých zamestnanci sú exponovaní jednotlivým faktorom práce a pracovného prostredia.</w:t>
      </w:r>
    </w:p>
    <w:p w14:paraId="0000016E"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Náklady</w:t>
      </w:r>
      <w:r>
        <w:rPr>
          <w:rFonts w:ascii="Times New Roman" w:eastAsia="Times New Roman" w:hAnsi="Times New Roman" w:cs="Times New Roman"/>
          <w:color w:val="000000"/>
          <w:sz w:val="24"/>
          <w:szCs w:val="24"/>
        </w:rPr>
        <w:t xml:space="preserve"> – administratívne náklady súvisiace s kategorizáciou prác z hľadiska zdravotného rizika.</w:t>
      </w:r>
    </w:p>
    <w:p w14:paraId="0000016F" w14:textId="77777777" w:rsidR="00EB1A0E" w:rsidRDefault="0086712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lastRenderedPageBreak/>
        <w:t>Druh vplyvu</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pozitívny vplyv na podnikateľské prostredie.</w:t>
      </w:r>
    </w:p>
    <w:p w14:paraId="00000178" w14:textId="2B90977E" w:rsidR="00EB1A0E" w:rsidRDefault="00000000">
      <w:pPr>
        <w:spacing w:line="276" w:lineRule="auto"/>
        <w:jc w:val="both"/>
        <w:rPr>
          <w:rFonts w:ascii="Times New Roman" w:eastAsia="Times New Roman" w:hAnsi="Times New Roman" w:cs="Times New Roman"/>
          <w:b/>
          <w:color w:val="000000"/>
          <w:sz w:val="24"/>
          <w:szCs w:val="24"/>
        </w:rPr>
      </w:pPr>
      <w:sdt>
        <w:sdtPr>
          <w:tag w:val="goog_rdk_60"/>
          <w:id w:val="-452756786"/>
        </w:sdtPr>
        <w:sdtContent>
          <w:sdt>
            <w:sdtPr>
              <w:tag w:val="goog_rdk_59"/>
              <w:id w:val="1446281335"/>
            </w:sdtPr>
            <w:sdtContent/>
          </w:sdt>
        </w:sdtContent>
      </w:sdt>
      <w:sdt>
        <w:sdtPr>
          <w:tag w:val="goog_rdk_62"/>
          <w:id w:val="-952884126"/>
        </w:sdtPr>
        <w:sdtContent>
          <w:sdt>
            <w:sdtPr>
              <w:tag w:val="goog_rdk_61"/>
              <w:id w:val="1196288950"/>
              <w:showingPlcHdr/>
            </w:sdtPr>
            <w:sdtContent>
              <w:r w:rsidR="00D12078">
                <w:t xml:space="preserve">     </w:t>
              </w:r>
            </w:sdtContent>
          </w:sdt>
        </w:sdtContent>
      </w:sdt>
      <w:sdt>
        <w:sdtPr>
          <w:tag w:val="goog_rdk_64"/>
          <w:id w:val="-1400601909"/>
        </w:sdtPr>
        <w:sdtContent>
          <w:sdt>
            <w:sdtPr>
              <w:tag w:val="goog_rdk_63"/>
              <w:id w:val="1421141232"/>
              <w:showingPlcHdr/>
            </w:sdtPr>
            <w:sdtContent>
              <w:r w:rsidR="00D12078">
                <w:t xml:space="preserve">     </w:t>
              </w:r>
            </w:sdtContent>
          </w:sdt>
        </w:sdtContent>
      </w:sdt>
      <w:sdt>
        <w:sdtPr>
          <w:tag w:val="goog_rdk_66"/>
          <w:id w:val="1459797713"/>
        </w:sdtPr>
        <w:sdtContent>
          <w:sdt>
            <w:sdtPr>
              <w:tag w:val="goog_rdk_65"/>
              <w:id w:val="-318310223"/>
              <w:showingPlcHdr/>
            </w:sdtPr>
            <w:sdtContent>
              <w:r w:rsidR="00D12078">
                <w:t xml:space="preserve">     </w:t>
              </w:r>
            </w:sdtContent>
          </w:sdt>
        </w:sdtContent>
      </w:sdt>
      <w:sdt>
        <w:sdtPr>
          <w:tag w:val="goog_rdk_68"/>
          <w:id w:val="713715231"/>
        </w:sdtPr>
        <w:sdtContent>
          <w:sdt>
            <w:sdtPr>
              <w:tag w:val="goog_rdk_67"/>
              <w:id w:val="865560095"/>
              <w:showingPlcHdr/>
            </w:sdtPr>
            <w:sdtContent>
              <w:r w:rsidR="00D12078">
                <w:t xml:space="preserve">     </w:t>
              </w:r>
            </w:sdtContent>
          </w:sdt>
        </w:sdtContent>
      </w:sdt>
      <w:sdt>
        <w:sdtPr>
          <w:tag w:val="goog_rdk_70"/>
          <w:id w:val="899284955"/>
        </w:sdtPr>
        <w:sdtContent>
          <w:sdt>
            <w:sdtPr>
              <w:tag w:val="goog_rdk_69"/>
              <w:id w:val="-633262590"/>
              <w:showingPlcHdr/>
            </w:sdtPr>
            <w:sdtContent>
              <w:r w:rsidR="00D12078">
                <w:t xml:space="preserve">     </w:t>
              </w:r>
            </w:sdtContent>
          </w:sdt>
        </w:sdtContent>
      </w:sdt>
      <w:sdt>
        <w:sdtPr>
          <w:tag w:val="goog_rdk_72"/>
          <w:id w:val="-20770475"/>
        </w:sdtPr>
        <w:sdtContent>
          <w:sdt>
            <w:sdtPr>
              <w:tag w:val="goog_rdk_71"/>
              <w:id w:val="-349666000"/>
              <w:showingPlcHdr/>
            </w:sdtPr>
            <w:sdtContent>
              <w:r w:rsidR="00D12078">
                <w:t xml:space="preserve">     </w:t>
              </w:r>
            </w:sdtContent>
          </w:sdt>
        </w:sdtContent>
      </w:sdt>
      <w:sdt>
        <w:sdtPr>
          <w:tag w:val="goog_rdk_74"/>
          <w:id w:val="-180082971"/>
        </w:sdtPr>
        <w:sdtContent>
          <w:sdt>
            <w:sdtPr>
              <w:tag w:val="goog_rdk_73"/>
              <w:id w:val="1124716102"/>
              <w:showingPlcHdr/>
            </w:sdtPr>
            <w:sdtContent>
              <w:r w:rsidR="00D12078">
                <w:t xml:space="preserve">     </w:t>
              </w:r>
            </w:sdtContent>
          </w:sdt>
        </w:sdtContent>
      </w:sdt>
    </w:p>
    <w:p w14:paraId="00000179" w14:textId="77777777" w:rsidR="00EB1A0E" w:rsidRDefault="00867128">
      <w:pPr>
        <w:numPr>
          <w:ilvl w:val="0"/>
          <w:numId w:val="1"/>
        </w:numPr>
        <w:pBdr>
          <w:top w:val="nil"/>
          <w:left w:val="nil"/>
          <w:bottom w:val="nil"/>
          <w:right w:val="nil"/>
          <w:between w:val="nil"/>
        </w:pBdr>
        <w:spacing w:line="276"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Zavedenie poplatku za vydávanie osvedčení o voľnom predaji kozmetického výrobku do tretích krajín a osvedčenia o dodržaní požiadaviek na správnu výrobnú prax pri výrobe kozmetického výrobku (§ 43 ods. 3 písm. b) a c))</w:t>
      </w:r>
    </w:p>
    <w:p w14:paraId="0000017A" w14:textId="77777777" w:rsidR="00EB1A0E" w:rsidRDefault="00867128">
      <w:pPr>
        <w:spacing w:line="276" w:lineRule="auto"/>
        <w:ind w:left="11" w:right="6" w:firstLine="1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Pridáva sa správny poplatok 50 </w:t>
      </w:r>
      <w:r>
        <w:rPr>
          <w:rFonts w:ascii="Times New Roman" w:eastAsia="Times New Roman" w:hAnsi="Times New Roman" w:cs="Times New Roman"/>
          <w:color w:val="000000"/>
          <w:sz w:val="24"/>
          <w:szCs w:val="24"/>
        </w:rPr>
        <w:t>€</w:t>
      </w:r>
      <w:r>
        <w:rPr>
          <w:rFonts w:ascii="Times New Roman" w:eastAsia="Times New Roman" w:hAnsi="Times New Roman" w:cs="Times New Roman"/>
          <w:sz w:val="24"/>
          <w:szCs w:val="24"/>
        </w:rPr>
        <w:t xml:space="preserve"> (v prípade elektronickej žiadosti bude poplatok znížený na 25 €) za vydanie osvedčenia o voľnom predaji kozmetického výrobku do tretích krajín a osvedčenia o dodržaní požiadaviek na správnu výrobnú prax pri výrobe kozmetického výrobku. Tieto osvedčenia sa budú vydávať na žiadosť výrobcu so sídlom v SR za účelom podpory exportu kozmetických výrobkov vyrobených v SR a ich možnosti pre vývoz kozmetických výrobkov do tretích krajín, v ktorých  kontrolné orgány takéto osvedčenia vyžadujú. </w:t>
      </w:r>
    </w:p>
    <w:p w14:paraId="0000017B" w14:textId="77777777" w:rsidR="00EB1A0E" w:rsidRDefault="00867128">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Keďže nie je právne stanovená povinnosť žiadať o tieto certifikáty, nie je povinnosťou, aby každý hospodársky subjekt o toto osvedčenie požiadal, z tohto dôvodu nie je možné vyčísliť vplyvy na podnikateľské prostredie. </w:t>
      </w:r>
    </w:p>
    <w:p w14:paraId="0000017C" w14:textId="77777777" w:rsidR="00EB1A0E" w:rsidRDefault="00867128">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Kategória dotknutých subjektov</w:t>
      </w:r>
      <w:r>
        <w:rPr>
          <w:rFonts w:ascii="Times New Roman" w:eastAsia="Times New Roman" w:hAnsi="Times New Roman" w:cs="Times New Roman"/>
          <w:color w:val="000000"/>
          <w:sz w:val="24"/>
          <w:szCs w:val="24"/>
        </w:rPr>
        <w:t xml:space="preserve"> – hospodárske subjekty, ktoré požiadajú o vydanie osvedčenia</w:t>
      </w:r>
    </w:p>
    <w:p w14:paraId="0000017D" w14:textId="77777777" w:rsidR="00EB1A0E" w:rsidRDefault="00867128">
      <w:pPr>
        <w:pBdr>
          <w:top w:val="nil"/>
          <w:left w:val="nil"/>
          <w:bottom w:val="nil"/>
          <w:right w:val="nil"/>
          <w:between w:val="nil"/>
        </w:pBdr>
        <w:spacing w:after="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u w:val="single"/>
        </w:rPr>
        <w:t>Druh vplyvu</w:t>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b/>
          <w:color w:val="000000"/>
          <w:sz w:val="24"/>
          <w:szCs w:val="24"/>
        </w:rPr>
        <w:t>negatívny vplyv na podnikateľské prostredie</w:t>
      </w:r>
      <w:r>
        <w:rPr>
          <w:rFonts w:ascii="Times New Roman" w:eastAsia="Times New Roman" w:hAnsi="Times New Roman" w:cs="Times New Roman"/>
          <w:color w:val="000000"/>
          <w:sz w:val="24"/>
          <w:szCs w:val="24"/>
        </w:rPr>
        <w:t xml:space="preserve">. </w:t>
      </w:r>
    </w:p>
    <w:sdt>
      <w:sdtPr>
        <w:tag w:val="goog_rdk_76"/>
        <w:id w:val="1216908543"/>
      </w:sdtPr>
      <w:sdtContent>
        <w:p w14:paraId="0000017E" w14:textId="77777777" w:rsidR="00EB1A0E" w:rsidRPr="00D12078" w:rsidRDefault="00000000">
          <w:p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rPr>
          </w:pPr>
          <w:sdt>
            <w:sdtPr>
              <w:tag w:val="goog_rdk_75"/>
              <w:id w:val="-1774655048"/>
            </w:sdtPr>
            <w:sdtContent/>
          </w:sdt>
        </w:p>
      </w:sdtContent>
    </w:sdt>
    <w:p w14:paraId="00000182" w14:textId="3150F44F" w:rsidR="00EB1A0E" w:rsidRDefault="00000000" w:rsidP="00D12078">
      <w:pPr>
        <w:jc w:val="both"/>
        <w:rPr>
          <w:rFonts w:ascii="Times New Roman" w:eastAsia="Times New Roman" w:hAnsi="Times New Roman" w:cs="Times New Roman"/>
          <w:b/>
          <w:color w:val="000000"/>
          <w:sz w:val="24"/>
          <w:szCs w:val="24"/>
        </w:rPr>
      </w:pPr>
      <w:sdt>
        <w:sdtPr>
          <w:tag w:val="goog_rdk_80"/>
          <w:id w:val="-1625464753"/>
        </w:sdtPr>
        <w:sdtEndPr>
          <w:rPr>
            <w:rFonts w:ascii="Times New Roman" w:eastAsia="Times New Roman" w:hAnsi="Times New Roman" w:cs="Times New Roman"/>
            <w:b/>
            <w:color w:val="000000"/>
            <w:sz w:val="24"/>
            <w:szCs w:val="24"/>
          </w:rPr>
        </w:sdtEndPr>
        <w:sdtContent>
          <w:sdt>
            <w:sdtPr>
              <w:tag w:val="goog_rdk_78"/>
              <w:id w:val="975503344"/>
              <w:showingPlcHdr/>
            </w:sdtPr>
            <w:sdtEndPr>
              <w:rPr>
                <w:rFonts w:ascii="Times New Roman" w:eastAsia="Times New Roman" w:hAnsi="Times New Roman" w:cs="Times New Roman"/>
                <w:b/>
                <w:color w:val="000000"/>
                <w:sz w:val="24"/>
                <w:szCs w:val="24"/>
              </w:rPr>
            </w:sdtEndPr>
            <w:sdtContent>
              <w:r w:rsidR="00D12078">
                <w:t xml:space="preserve">     </w:t>
              </w:r>
            </w:sdtContent>
          </w:sdt>
        </w:sdtContent>
      </w:sdt>
    </w:p>
    <w:p w14:paraId="00000183" w14:textId="77777777" w:rsidR="00EB1A0E" w:rsidRDefault="00EB1A0E">
      <w:pPr>
        <w:spacing w:after="0" w:line="240" w:lineRule="auto"/>
        <w:rPr>
          <w:rFonts w:ascii="Times New Roman" w:eastAsia="Times New Roman" w:hAnsi="Times New Roman" w:cs="Times New Roman"/>
          <w:b/>
          <w:sz w:val="28"/>
          <w:szCs w:val="28"/>
        </w:rPr>
      </w:pPr>
    </w:p>
    <w:sectPr w:rsidR="00EB1A0E">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D1970" w14:textId="77777777" w:rsidR="00AF4367" w:rsidRDefault="00AF4367">
      <w:pPr>
        <w:spacing w:after="0" w:line="240" w:lineRule="auto"/>
      </w:pPr>
      <w:r>
        <w:separator/>
      </w:r>
    </w:p>
  </w:endnote>
  <w:endnote w:type="continuationSeparator" w:id="0">
    <w:p w14:paraId="08B40725" w14:textId="77777777" w:rsidR="00AF4367" w:rsidRDefault="00AF43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6DE5D62E-44B5-46C1-B28E-C461AFB1C097}"/>
    <w:embedBold r:id="rId2" w:fontKey="{47B16BB1-A842-4693-8FCF-7FF220772A71}"/>
  </w:font>
  <w:font w:name="Segoe UI">
    <w:panose1 w:val="020B0502040204020203"/>
    <w:charset w:val="EE"/>
    <w:family w:val="swiss"/>
    <w:pitch w:val="variable"/>
    <w:sig w:usb0="E4002EFF" w:usb1="C000E47F" w:usb2="00000009" w:usb3="00000000" w:csb0="000001FF" w:csb1="00000000"/>
    <w:embedRegular r:id="rId3" w:fontKey="{BDEB13AE-DFBE-48B5-83F2-D42D3E996010}"/>
  </w:font>
  <w:font w:name="Georgia">
    <w:panose1 w:val="02040502050405020303"/>
    <w:charset w:val="EE"/>
    <w:family w:val="roman"/>
    <w:pitch w:val="variable"/>
    <w:sig w:usb0="00000287" w:usb1="00000000" w:usb2="00000000" w:usb3="00000000" w:csb0="0000009F" w:csb1="00000000"/>
    <w:embedRegular r:id="rId4" w:fontKey="{911D94A4-6347-4A2A-8C96-537E00F2C491}"/>
    <w:embedItalic r:id="rId5" w:fontKey="{3A7C5D64-760A-4B5E-853C-770646D14099}"/>
  </w:font>
  <w:font w:name="Arial Unicode MS">
    <w:panose1 w:val="020B0604020202020204"/>
    <w:charset w:val="80"/>
    <w:family w:val="swiss"/>
    <w:pitch w:val="variable"/>
    <w:sig w:usb0="F7FFAFFF" w:usb1="E9DFFFFF" w:usb2="0000003F" w:usb3="00000000" w:csb0="003F01FF" w:csb1="00000000"/>
    <w:embedItalic r:id="rId6" w:subsetted="1" w:fontKey="{A98485EA-DDC0-46E6-8B68-24CEB25415B5}"/>
  </w:font>
  <w:font w:name="Calibri Light">
    <w:panose1 w:val="020F0302020204030204"/>
    <w:charset w:val="EE"/>
    <w:family w:val="swiss"/>
    <w:pitch w:val="variable"/>
    <w:sig w:usb0="E4002EFF" w:usb1="C200247B" w:usb2="00000009" w:usb3="00000000" w:csb0="000001FF" w:csb1="00000000"/>
    <w:embedRegular r:id="rId7" w:fontKey="{92DDE45B-E54F-4F12-9346-2CB612B6C6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B" w14:textId="28374F85" w:rsidR="00EB1A0E" w:rsidRDefault="00867128">
    <w:pPr>
      <w:pBdr>
        <w:top w:val="nil"/>
        <w:left w:val="nil"/>
        <w:bottom w:val="nil"/>
        <w:right w:val="nil"/>
        <w:between w:val="nil"/>
      </w:pBdr>
      <w:tabs>
        <w:tab w:val="center" w:pos="4536"/>
        <w:tab w:val="right" w:pos="9072"/>
      </w:tabs>
      <w:spacing w:after="0" w:line="240" w:lineRule="auto"/>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355302">
      <w:rPr>
        <w:rFonts w:ascii="Times New Roman" w:eastAsia="Times New Roman" w:hAnsi="Times New Roman" w:cs="Times New Roman"/>
        <w:noProof/>
        <w:color w:val="000000"/>
        <w:sz w:val="24"/>
        <w:szCs w:val="24"/>
      </w:rPr>
      <w:t>1</w:t>
    </w:r>
    <w:r>
      <w:rPr>
        <w:rFonts w:ascii="Times New Roman" w:eastAsia="Times New Roman" w:hAnsi="Times New Roman" w:cs="Times New Roman"/>
        <w:color w:val="000000"/>
        <w:sz w:val="24"/>
        <w:szCs w:val="24"/>
      </w:rPr>
      <w:fldChar w:fldCharType="end"/>
    </w:r>
  </w:p>
  <w:p w14:paraId="0000018C" w14:textId="77777777" w:rsidR="00EB1A0E" w:rsidRDefault="00EB1A0E">
    <w:pPr>
      <w:pBdr>
        <w:top w:val="nil"/>
        <w:left w:val="nil"/>
        <w:bottom w:val="nil"/>
        <w:right w:val="nil"/>
        <w:between w:val="nil"/>
      </w:pBdr>
      <w:tabs>
        <w:tab w:val="center" w:pos="4536"/>
        <w:tab w:val="right" w:pos="9072"/>
      </w:tabs>
      <w:spacing w:after="0" w:line="240" w:lineRule="auto"/>
      <w:rPr>
        <w:color w:val="000000"/>
        <w:sz w:val="24"/>
        <w:szCs w:val="24"/>
      </w:rPr>
    </w:pPr>
  </w:p>
  <w:p w14:paraId="0000018D" w14:textId="77777777" w:rsidR="00EB1A0E" w:rsidRDefault="00EB1A0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A591C" w14:textId="77777777" w:rsidR="00AF4367" w:rsidRDefault="00AF4367">
      <w:pPr>
        <w:spacing w:after="0" w:line="240" w:lineRule="auto"/>
      </w:pPr>
      <w:r>
        <w:separator/>
      </w:r>
    </w:p>
  </w:footnote>
  <w:footnote w:type="continuationSeparator" w:id="0">
    <w:p w14:paraId="32768F6B" w14:textId="77777777" w:rsidR="00AF4367" w:rsidRDefault="00AF4367">
      <w:pPr>
        <w:spacing w:after="0" w:line="240" w:lineRule="auto"/>
      </w:pPr>
      <w:r>
        <w:continuationSeparator/>
      </w:r>
    </w:p>
  </w:footnote>
  <w:footnote w:id="1">
    <w:p w14:paraId="00000184" w14:textId="77777777" w:rsidR="00EB1A0E" w:rsidRDefault="00867128">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1" w:anchor="!/view/sk/VBD_SLOVSTAT/np2008rs/v_np2008rs_00_00_00_sk">
        <w:r>
          <w:rPr>
            <w:color w:val="0000FF"/>
            <w:sz w:val="20"/>
            <w:szCs w:val="20"/>
            <w:u w:val="single"/>
          </w:rPr>
          <w:t>Úplné náklady práce (mesačné, hodinové) podľa ekonomických činností (SK NACE Rev. 2) [np2008rs] - DATAcube.</w:t>
        </w:r>
      </w:hyperlink>
    </w:p>
  </w:footnote>
  <w:footnote w:id="2">
    <w:p w14:paraId="00000185" w14:textId="77777777" w:rsidR="00EB1A0E" w:rsidRDefault="00867128">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hyperlink r:id="rId2">
        <w:r>
          <w:rPr>
            <w:color w:val="0000FF"/>
            <w:sz w:val="20"/>
            <w:szCs w:val="20"/>
            <w:u w:val="single"/>
          </w:rPr>
          <w:t>Komplexny_audit_povinnosti_msp_v_oblasti_bozp.pdf (sbagency.sk)</w:t>
        </w:r>
      </w:hyperlink>
    </w:p>
  </w:footnote>
  <w:footnote w:id="3">
    <w:sdt>
      <w:sdtPr>
        <w:tag w:val="goog_rdk_90"/>
        <w:id w:val="910427741"/>
      </w:sdtPr>
      <w:sdtContent>
        <w:p w14:paraId="00000187" w14:textId="08D40A4A" w:rsidR="00EB1A0E" w:rsidRDefault="00867128">
          <w:pPr>
            <w:pBdr>
              <w:top w:val="nil"/>
              <w:left w:val="nil"/>
              <w:bottom w:val="nil"/>
              <w:right w:val="nil"/>
              <w:between w:val="nil"/>
            </w:pBdr>
            <w:spacing w:after="0" w:line="240" w:lineRule="auto"/>
            <w:rPr>
              <w:color w:val="0000FF"/>
              <w:sz w:val="20"/>
              <w:szCs w:val="20"/>
              <w:u w:val="single"/>
            </w:rPr>
          </w:pPr>
          <w:r>
            <w:rPr>
              <w:vertAlign w:val="superscript"/>
            </w:rPr>
            <w:footnoteRef/>
          </w:r>
          <w:r>
            <w:rPr>
              <w:color w:val="000000"/>
              <w:sz w:val="20"/>
              <w:szCs w:val="20"/>
            </w:rPr>
            <w:t xml:space="preserve"> </w:t>
          </w:r>
          <w:hyperlink r:id="rId3">
            <w:r>
              <w:rPr>
                <w:color w:val="0000FF"/>
                <w:sz w:val="20"/>
                <w:szCs w:val="20"/>
                <w:u w:val="single"/>
              </w:rPr>
              <w:t>Výročné správy - Portál úradov - uvz</w:t>
            </w:r>
          </w:hyperlink>
          <w:sdt>
            <w:sdtPr>
              <w:tag w:val="goog_rdk_89"/>
              <w:id w:val="791052868"/>
              <w:showingPlcHdr/>
            </w:sdtPr>
            <w:sdtContent>
              <w:r w:rsidR="00D12078">
                <w:t xml:space="preserve">     </w:t>
              </w:r>
            </w:sdtContent>
          </w:sdt>
        </w:p>
      </w:sdtContent>
    </w:sdt>
    <w:sdt>
      <w:sdtPr>
        <w:tag w:val="goog_rdk_93"/>
        <w:id w:val="-158646020"/>
      </w:sdtPr>
      <w:sdtContent>
        <w:p w14:paraId="00000188" w14:textId="77777777" w:rsidR="00EB1A0E" w:rsidRPr="00D12078" w:rsidRDefault="00000000">
          <w:pPr>
            <w:pBdr>
              <w:top w:val="nil"/>
              <w:left w:val="nil"/>
              <w:bottom w:val="nil"/>
              <w:right w:val="nil"/>
              <w:between w:val="nil"/>
            </w:pBdr>
            <w:spacing w:after="0" w:line="240" w:lineRule="auto"/>
            <w:rPr>
              <w:sz w:val="20"/>
              <w:szCs w:val="20"/>
            </w:rPr>
          </w:pPr>
          <w:sdt>
            <w:sdtPr>
              <w:tag w:val="goog_rdk_91"/>
              <w:id w:val="-1091035377"/>
            </w:sdtPr>
            <w:sdtContent>
              <w:r w:rsidR="00867128" w:rsidRPr="003637A9">
                <w:rPr>
                  <w:vertAlign w:val="superscript"/>
                </w:rPr>
                <w:t>5</w:t>
              </w:r>
              <w:r w:rsidR="00867128" w:rsidRPr="003637A9">
                <w:t xml:space="preserve"> Informácie sa uvádzajú iba v prípade, ak sa predkladaným návrhom regulácie vykonáva transpozícia smernice EÚ a bol identifikovaný goldplating podľa tabuľky zhody alebo sa vykonáva implementácia nariadenia EÚ s goldplatingom. Informácie sa uvádzajú aj v prípade (ak nejde o transpozíciu smernice EÚ alebo implementáciu nariadenia EÚ), ak sa predloženým návrhom odstraňuje goldplating, ktorého pôvod je v skoršom zachovaní existujúcej právnej úpravy (existujúcich vnútroštátnych požiadaviek).</w:t>
              </w:r>
            </w:sdtContent>
          </w:sdt>
          <w:sdt>
            <w:sdtPr>
              <w:tag w:val="goog_rdk_92"/>
              <w:id w:val="2000920029"/>
            </w:sdtPr>
            <w:sdtContent/>
          </w:sdt>
        </w:p>
      </w:sdtContent>
    </w:sdt>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9" w14:textId="77777777" w:rsidR="00EB1A0E" w:rsidRDefault="00867128">
    <w:pPr>
      <w:tabs>
        <w:tab w:val="center" w:pos="4536"/>
        <w:tab w:val="right" w:pos="9072"/>
      </w:tabs>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Príloha č. 3a</w:t>
    </w:r>
  </w:p>
  <w:p w14:paraId="0000018A" w14:textId="77777777" w:rsidR="00EB1A0E" w:rsidRDefault="00EB1A0E">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6A3836"/>
    <w:multiLevelType w:val="multilevel"/>
    <w:tmpl w:val="F6DA94C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74070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A0E"/>
    <w:rsid w:val="002136A2"/>
    <w:rsid w:val="00355302"/>
    <w:rsid w:val="003637A9"/>
    <w:rsid w:val="00745BD2"/>
    <w:rsid w:val="007521D1"/>
    <w:rsid w:val="00867128"/>
    <w:rsid w:val="009035AF"/>
    <w:rsid w:val="0096671D"/>
    <w:rsid w:val="00A93E2B"/>
    <w:rsid w:val="00AF4367"/>
    <w:rsid w:val="00D12078"/>
    <w:rsid w:val="00E32554"/>
    <w:rsid w:val="00EB1A0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1AF9E1"/>
  <w15:docId w15:val="{AA22ED60-995D-4118-9765-3C59DDCBB5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k" w:eastAsia="sk-S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054C41"/>
  </w:style>
  <w:style w:type="paragraph" w:styleId="Nadpis1">
    <w:name w:val="heading 1"/>
    <w:basedOn w:val="Normlny"/>
    <w:next w:val="Normlny"/>
    <w:uiPriority w:val="9"/>
    <w:qFormat/>
    <w:pPr>
      <w:keepNext/>
      <w:keepLines/>
      <w:spacing w:before="480" w:after="120"/>
      <w:outlineLvl w:val="0"/>
    </w:pPr>
    <w:rPr>
      <w:b/>
      <w:sz w:val="48"/>
      <w:szCs w:val="48"/>
    </w:rPr>
  </w:style>
  <w:style w:type="paragraph" w:styleId="Nadpis2">
    <w:name w:val="heading 2"/>
    <w:basedOn w:val="Normlny"/>
    <w:next w:val="Normlny"/>
    <w:uiPriority w:val="9"/>
    <w:semiHidden/>
    <w:unhideWhenUsed/>
    <w:qFormat/>
    <w:pPr>
      <w:keepNext/>
      <w:keepLines/>
      <w:spacing w:before="360" w:after="80"/>
      <w:outlineLvl w:val="1"/>
    </w:pPr>
    <w:rPr>
      <w:b/>
      <w:sz w:val="36"/>
      <w:szCs w:val="36"/>
    </w:rPr>
  </w:style>
  <w:style w:type="paragraph" w:styleId="Nadpis3">
    <w:name w:val="heading 3"/>
    <w:basedOn w:val="Normlny"/>
    <w:next w:val="Normlny"/>
    <w:uiPriority w:val="9"/>
    <w:semiHidden/>
    <w:unhideWhenUsed/>
    <w:qFormat/>
    <w:pPr>
      <w:keepNext/>
      <w:keepLines/>
      <w:spacing w:before="280" w:after="80"/>
      <w:outlineLvl w:val="2"/>
    </w:pPr>
    <w:rPr>
      <w:b/>
      <w:sz w:val="28"/>
      <w:szCs w:val="28"/>
    </w:rPr>
  </w:style>
  <w:style w:type="paragraph" w:styleId="Nadpis4">
    <w:name w:val="heading 4"/>
    <w:basedOn w:val="Normlny"/>
    <w:next w:val="Normlny"/>
    <w:uiPriority w:val="9"/>
    <w:semiHidden/>
    <w:unhideWhenUsed/>
    <w:qFormat/>
    <w:pPr>
      <w:keepNext/>
      <w:keepLines/>
      <w:spacing w:before="240" w:after="40"/>
      <w:outlineLvl w:val="3"/>
    </w:pPr>
    <w:rPr>
      <w:b/>
      <w:sz w:val="24"/>
      <w:szCs w:val="24"/>
    </w:rPr>
  </w:style>
  <w:style w:type="paragraph" w:styleId="Nadpis5">
    <w:name w:val="heading 5"/>
    <w:basedOn w:val="Normlny"/>
    <w:next w:val="Normlny"/>
    <w:uiPriority w:val="9"/>
    <w:semiHidden/>
    <w:unhideWhenUsed/>
    <w:qFormat/>
    <w:pPr>
      <w:keepNext/>
      <w:keepLines/>
      <w:spacing w:before="220" w:after="40"/>
      <w:outlineLvl w:val="4"/>
    </w:pPr>
    <w:rPr>
      <w:b/>
    </w:rPr>
  </w:style>
  <w:style w:type="paragraph" w:styleId="Nadpis6">
    <w:name w:val="heading 6"/>
    <w:basedOn w:val="Normlny"/>
    <w:next w:val="Normlny"/>
    <w:uiPriority w:val="9"/>
    <w:semiHidden/>
    <w:unhideWhenUsed/>
    <w:qFormat/>
    <w:pPr>
      <w:keepNext/>
      <w:keepLines/>
      <w:spacing w:before="200" w:after="40"/>
      <w:outlineLvl w:val="5"/>
    </w:pPr>
    <w:rPr>
      <w:b/>
      <w:sz w:val="20"/>
      <w:szCs w:val="20"/>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sz w:val="72"/>
      <w:szCs w:val="72"/>
    </w:rPr>
  </w:style>
  <w:style w:type="paragraph" w:styleId="Hlavika">
    <w:name w:val="header"/>
    <w:basedOn w:val="Normlny"/>
    <w:link w:val="HlavikaChar"/>
    <w:uiPriority w:val="99"/>
    <w:unhideWhenUsed/>
    <w:rsid w:val="00054C41"/>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054C41"/>
  </w:style>
  <w:style w:type="paragraph" w:styleId="Normlnywebov">
    <w:name w:val="Normal (Web)"/>
    <w:aliases w:val="webb"/>
    <w:basedOn w:val="Normlny"/>
    <w:uiPriority w:val="34"/>
    <w:unhideWhenUsed/>
    <w:qFormat/>
    <w:rsid w:val="00054C41"/>
    <w:pPr>
      <w:spacing w:after="0" w:line="240" w:lineRule="auto"/>
    </w:pPr>
    <w:rPr>
      <w:rFonts w:ascii="Times New Roman" w:eastAsia="Times New Roman" w:hAnsi="Times New Roman" w:cs="Times New Roman"/>
      <w:sz w:val="24"/>
      <w:szCs w:val="24"/>
    </w:rPr>
  </w:style>
  <w:style w:type="table" w:customStyle="1" w:styleId="Mriekatabuky2">
    <w:name w:val="Mriežka tabuľky2"/>
    <w:basedOn w:val="Normlnatabuka"/>
    <w:next w:val="Mriekatabuky"/>
    <w:uiPriority w:val="59"/>
    <w:rsid w:val="00054C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riekatabuky">
    <w:name w:val="Table Grid"/>
    <w:basedOn w:val="Normlnatabuka"/>
    <w:uiPriority w:val="39"/>
    <w:rsid w:val="00054C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ta">
    <w:name w:val="footer"/>
    <w:basedOn w:val="Normlny"/>
    <w:link w:val="PtaChar"/>
    <w:uiPriority w:val="99"/>
    <w:unhideWhenUsed/>
    <w:rsid w:val="00054C41"/>
    <w:pPr>
      <w:tabs>
        <w:tab w:val="center" w:pos="4536"/>
        <w:tab w:val="right" w:pos="9072"/>
      </w:tabs>
      <w:spacing w:after="0" w:line="240" w:lineRule="auto"/>
    </w:pPr>
  </w:style>
  <w:style w:type="character" w:customStyle="1" w:styleId="PtaChar">
    <w:name w:val="Päta Char"/>
    <w:basedOn w:val="Predvolenpsmoodseku"/>
    <w:link w:val="Pta"/>
    <w:uiPriority w:val="99"/>
    <w:rsid w:val="00054C41"/>
  </w:style>
  <w:style w:type="paragraph" w:styleId="Textbubliny">
    <w:name w:val="Balloon Text"/>
    <w:basedOn w:val="Normlny"/>
    <w:link w:val="TextbublinyChar"/>
    <w:uiPriority w:val="99"/>
    <w:semiHidden/>
    <w:unhideWhenUsed/>
    <w:rsid w:val="001B4C03"/>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B4C03"/>
    <w:rPr>
      <w:rFonts w:ascii="Segoe UI" w:hAnsi="Segoe UI" w:cs="Segoe UI"/>
      <w:sz w:val="18"/>
      <w:szCs w:val="18"/>
    </w:rPr>
  </w:style>
  <w:style w:type="character" w:styleId="Odkaznakomentr">
    <w:name w:val="annotation reference"/>
    <w:basedOn w:val="Predvolenpsmoodseku"/>
    <w:uiPriority w:val="99"/>
    <w:semiHidden/>
    <w:unhideWhenUsed/>
    <w:rsid w:val="001B4C03"/>
    <w:rPr>
      <w:sz w:val="16"/>
      <w:szCs w:val="16"/>
    </w:rPr>
  </w:style>
  <w:style w:type="paragraph" w:styleId="Textkomentra">
    <w:name w:val="annotation text"/>
    <w:basedOn w:val="Normlny"/>
    <w:link w:val="TextkomentraChar"/>
    <w:uiPriority w:val="99"/>
    <w:semiHidden/>
    <w:unhideWhenUsed/>
    <w:rsid w:val="001B4C03"/>
    <w:pPr>
      <w:spacing w:line="240" w:lineRule="auto"/>
    </w:pPr>
    <w:rPr>
      <w:sz w:val="20"/>
      <w:szCs w:val="20"/>
    </w:rPr>
  </w:style>
  <w:style w:type="character" w:customStyle="1" w:styleId="TextkomentraChar">
    <w:name w:val="Text komentára Char"/>
    <w:basedOn w:val="Predvolenpsmoodseku"/>
    <w:link w:val="Textkomentra"/>
    <w:uiPriority w:val="99"/>
    <w:semiHidden/>
    <w:rsid w:val="001B4C03"/>
    <w:rPr>
      <w:sz w:val="20"/>
      <w:szCs w:val="20"/>
    </w:rPr>
  </w:style>
  <w:style w:type="paragraph" w:styleId="Predmetkomentra">
    <w:name w:val="annotation subject"/>
    <w:basedOn w:val="Textkomentra"/>
    <w:next w:val="Textkomentra"/>
    <w:link w:val="PredmetkomentraChar"/>
    <w:uiPriority w:val="99"/>
    <w:semiHidden/>
    <w:unhideWhenUsed/>
    <w:rsid w:val="001B4C03"/>
    <w:rPr>
      <w:b/>
      <w:bCs/>
    </w:rPr>
  </w:style>
  <w:style w:type="character" w:customStyle="1" w:styleId="PredmetkomentraChar">
    <w:name w:val="Predmet komentára Char"/>
    <w:basedOn w:val="TextkomentraChar"/>
    <w:link w:val="Predmetkomentra"/>
    <w:uiPriority w:val="99"/>
    <w:semiHidden/>
    <w:rsid w:val="001B4C03"/>
    <w:rPr>
      <w:b/>
      <w:bCs/>
      <w:sz w:val="20"/>
      <w:szCs w:val="20"/>
    </w:rPr>
  </w:style>
  <w:style w:type="paragraph" w:styleId="Odsekzoznamu">
    <w:name w:val="List Paragraph"/>
    <w:basedOn w:val="Normlny"/>
    <w:uiPriority w:val="34"/>
    <w:qFormat/>
    <w:rsid w:val="00EE4C99"/>
    <w:pPr>
      <w:ind w:left="720"/>
      <w:contextualSpacing/>
    </w:pPr>
  </w:style>
  <w:style w:type="paragraph" w:customStyle="1" w:styleId="gmail-m-1648484718305530482msolistparagraph">
    <w:name w:val="gmail-m_-1648484718305530482msolistparagraph"/>
    <w:basedOn w:val="Normlny"/>
    <w:rsid w:val="00A50EE3"/>
    <w:pPr>
      <w:spacing w:before="100" w:beforeAutospacing="1" w:after="100" w:afterAutospacing="1" w:line="240" w:lineRule="auto"/>
    </w:pPr>
  </w:style>
  <w:style w:type="paragraph" w:styleId="Textpoznmkypodiarou">
    <w:name w:val="footnote text"/>
    <w:basedOn w:val="Normlny"/>
    <w:link w:val="TextpoznmkypodiarouChar"/>
    <w:uiPriority w:val="99"/>
    <w:semiHidden/>
    <w:unhideWhenUsed/>
    <w:rsid w:val="00C929AE"/>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C929AE"/>
    <w:rPr>
      <w:sz w:val="20"/>
      <w:szCs w:val="20"/>
    </w:rPr>
  </w:style>
  <w:style w:type="character" w:styleId="Odkaznapoznmkupodiarou">
    <w:name w:val="footnote reference"/>
    <w:basedOn w:val="Predvolenpsmoodseku"/>
    <w:uiPriority w:val="99"/>
    <w:semiHidden/>
    <w:unhideWhenUsed/>
    <w:rsid w:val="00C929AE"/>
    <w:rPr>
      <w:vertAlign w:val="superscript"/>
    </w:rPr>
  </w:style>
  <w:style w:type="paragraph" w:styleId="Revzia">
    <w:name w:val="Revision"/>
    <w:hidden/>
    <w:uiPriority w:val="99"/>
    <w:semiHidden/>
    <w:rsid w:val="00DE6ACB"/>
    <w:pPr>
      <w:spacing w:after="0" w:line="240" w:lineRule="auto"/>
    </w:pPr>
  </w:style>
  <w:style w:type="character" w:styleId="Hypertextovprepojenie">
    <w:name w:val="Hyperlink"/>
    <w:basedOn w:val="Predvolenpsmoodseku"/>
    <w:uiPriority w:val="99"/>
    <w:unhideWhenUsed/>
    <w:rsid w:val="00B13B08"/>
    <w:rPr>
      <w:rFonts w:cs="Times New Roman"/>
      <w:color w:val="0000FF"/>
      <w:u w:val="single"/>
    </w:rPr>
  </w:style>
  <w:style w:type="character" w:customStyle="1" w:styleId="Nevyrieenzmienka1">
    <w:name w:val="Nevyriešená zmienka1"/>
    <w:basedOn w:val="Predvolenpsmoodseku"/>
    <w:uiPriority w:val="99"/>
    <w:semiHidden/>
    <w:unhideWhenUsed/>
    <w:rsid w:val="00B31B9B"/>
    <w:rPr>
      <w:color w:val="605E5C"/>
      <w:shd w:val="clear" w:color="auto" w:fill="E1DFDD"/>
    </w:rPr>
  </w:style>
  <w:style w:type="paragraph" w:customStyle="1" w:styleId="ListParagraph1">
    <w:name w:val="List Paragraph1"/>
    <w:basedOn w:val="Normlny"/>
    <w:rsid w:val="003E077F"/>
    <w:pPr>
      <w:spacing w:after="0" w:line="240" w:lineRule="auto"/>
      <w:ind w:left="708"/>
    </w:pPr>
    <w:rPr>
      <w:rFonts w:ascii="Times New Roman" w:eastAsia="Times New Roman" w:hAnsi="Times New Roman" w:cs="Times New Roman"/>
      <w:sz w:val="24"/>
      <w:szCs w:val="24"/>
      <w:lang w:eastAsia="cs-CZ"/>
    </w:rPr>
  </w:style>
  <w:style w:type="character" w:customStyle="1" w:styleId="Nevyrieenzmienka2">
    <w:name w:val="Nevyriešená zmienka2"/>
    <w:basedOn w:val="Predvolenpsmoodseku"/>
    <w:uiPriority w:val="99"/>
    <w:semiHidden/>
    <w:unhideWhenUsed/>
    <w:rsid w:val="00F93D08"/>
    <w:rPr>
      <w:color w:val="605E5C"/>
      <w:shd w:val="clear" w:color="auto" w:fill="E1DFDD"/>
    </w:rPr>
  </w:style>
  <w:style w:type="character" w:styleId="PouitHypertextovPrepojenie">
    <w:name w:val="FollowedHyperlink"/>
    <w:basedOn w:val="Predvolenpsmoodseku"/>
    <w:uiPriority w:val="99"/>
    <w:semiHidden/>
    <w:unhideWhenUsed/>
    <w:rsid w:val="00657CE5"/>
    <w:rPr>
      <w:color w:val="954F72" w:themeColor="followedHyperlink"/>
      <w:u w:val="single"/>
    </w:rPr>
  </w:style>
  <w:style w:type="character" w:customStyle="1" w:styleId="Nevyrieenzmienka3">
    <w:name w:val="Nevyriešená zmienka3"/>
    <w:basedOn w:val="Predvolenpsmoodseku"/>
    <w:uiPriority w:val="99"/>
    <w:semiHidden/>
    <w:unhideWhenUsed/>
    <w:rsid w:val="002F2ADE"/>
    <w:rPr>
      <w:color w:val="605E5C"/>
      <w:shd w:val="clear" w:color="auto" w:fill="E1DFDD"/>
    </w:rPr>
  </w:style>
  <w:style w:type="paragraph" w:styleId="Podtitul">
    <w:name w:val="Subtitle"/>
    <w:basedOn w:val="Normlny"/>
    <w:next w:val="Norm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slov-lex.sk/elegislativa/legislativne-procesy/SK/PI/2024/304"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lov-lex.sk/elegislativa/legislativne-procesy/SK/PI/2024/304" TargetMode="External"/><Relationship Id="rId17" Type="http://schemas.openxmlformats.org/officeDocument/2006/relationships/hyperlink" Target="https://www.uvzsr.sk/web/uvz/konzultacie-s-dotknutymi-subjektami" TargetMode="External"/><Relationship Id="rId2" Type="http://schemas.openxmlformats.org/officeDocument/2006/relationships/numbering" Target="numbering.xml"/><Relationship Id="rId16" Type="http://schemas.openxmlformats.org/officeDocument/2006/relationships/hyperlink" Target="https://www.slov-lex.sk/elegislativa/legislativne-procesy/SK/PI/2024/30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vzsr.sk/documents/d/uvz/vs-ruvz-za-rok-2023-final-pdf" TargetMode="External"/><Relationship Id="rId5" Type="http://schemas.openxmlformats.org/officeDocument/2006/relationships/webSettings" Target="webSettings.xml"/><Relationship Id="rId15" Type="http://schemas.openxmlformats.org/officeDocument/2006/relationships/hyperlink" Target="https://www.slov-lex.sk/elegislativa/legislativne-procesy/SK/PI/2024/304" TargetMode="External"/><Relationship Id="rId10" Type="http://schemas.openxmlformats.org/officeDocument/2006/relationships/hyperlink" Target="https://www.uvzsr.sk/documents/d/uvz/zoznam-azbest-k-21102024-pdf%3ezo"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lov-lex.sk/elegislativa/legislativne-procesy/SK/PI/2024/304"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www.uvzsr.sk/web/uvz/vyrocne-spravy" TargetMode="External"/><Relationship Id="rId2" Type="http://schemas.openxmlformats.org/officeDocument/2006/relationships/hyperlink" Target="https://www.sbagency.sk/sites/default/files/komplexny_audit_povinnosti_msp_v_oblasti_bozp.pdf" TargetMode="External"/><Relationship Id="rId1" Type="http://schemas.openxmlformats.org/officeDocument/2006/relationships/hyperlink" Target="https://datacube.statistics.sk/" TargetMode="Externa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0qUkQtvJDZ1Df6xX1Bca3h8AlA==">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13</Pages>
  <Words>3907</Words>
  <Characters>22273</Characters>
  <Application>Microsoft Office Word</Application>
  <DocSecurity>0</DocSecurity>
  <Lines>185</Lines>
  <Paragraphs>52</Paragraphs>
  <ScaleCrop>false</ScaleCrop>
  <Company/>
  <LinksUpToDate>false</LinksUpToDate>
  <CharactersWithSpaces>26128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Pavlikova Katarina</dc:creator>
  <cp:lastModifiedBy>Kidala Viktor</cp:lastModifiedBy>
  <cp:revision>8</cp:revision>
  <cp:lastPrinted>2025-10-14T11:32:00Z</cp:lastPrinted>
  <dcterms:created xsi:type="dcterms:W3CDTF">2025-02-18T10:40:00Z</dcterms:created>
  <dcterms:modified xsi:type="dcterms:W3CDTF">2026-03-24T12:02:00Z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SC#SKEDITIONSLOVLEX@103.510:spravaucastverej">
    <vt:lpwstr/>
  </property>
  <property fmtid="{D5CDD505-2E9C-101B-9397-08002B2CF9AE}" pid="3" name="FSC#SKEDITIONSLOVLEX@103.510:typpredpis">
    <vt:lpwstr>Nelegislatívny všeobecný materiál</vt:lpwstr>
  </property>
  <property fmtid="{D5CDD505-2E9C-101B-9397-08002B2CF9AE}" pid="4" name="FSC#SKEDITIONSLOVLEX@103.510:aktualnyrok">
    <vt:lpwstr>2022</vt:lpwstr>
  </property>
  <property fmtid="{D5CDD505-2E9C-101B-9397-08002B2CF9AE}" pid="5" name="FSC#SKEDITIONSLOVLEX@103.510:cisloparlamenttlac">
    <vt:lpwstr/>
  </property>
  <property fmtid="{D5CDD505-2E9C-101B-9397-08002B2CF9AE}" pid="6" name="FSC#SKEDITIONSLOVLEX@103.510:stavpredpis">
    <vt:lpwstr>Vyhodnotenie medzirezortného pripomienkového konania</vt:lpwstr>
  </property>
  <property fmtid="{D5CDD505-2E9C-101B-9397-08002B2CF9AE}" pid="7" name="FSC#SKEDITIONSLOVLEX@103.510:povodpredpis">
    <vt:lpwstr>Slovlex (eLeg)</vt:lpwstr>
  </property>
  <property fmtid="{D5CDD505-2E9C-101B-9397-08002B2CF9AE}" pid="8" name="FSC#SKEDITIONSLOVLEX@103.510:legoblast">
    <vt:lpwstr>Nelegislatívna oblasť</vt:lpwstr>
  </property>
  <property fmtid="{D5CDD505-2E9C-101B-9397-08002B2CF9AE}" pid="9" name="FSC#SKEDITIONSLOVLEX@103.510:uzemplat">
    <vt:lpwstr/>
  </property>
  <property fmtid="{D5CDD505-2E9C-101B-9397-08002B2CF9AE}" pid="10" name="FSC#SKEDITIONSLOVLEX@103.510:vztahypredpis">
    <vt:lpwstr/>
  </property>
  <property fmtid="{D5CDD505-2E9C-101B-9397-08002B2CF9AE}" pid="11" name="FSC#SKEDITIONSLOVLEX@103.510:predkladatel">
    <vt:lpwstr>Mgr. Katarína Pavlíková</vt:lpwstr>
  </property>
  <property fmtid="{D5CDD505-2E9C-101B-9397-08002B2CF9AE}" pid="12" name="FSC#SKEDITIONSLOVLEX@103.510:zodppredkladatel">
    <vt:lpwstr>Ing. Karel Hirman</vt:lpwstr>
  </property>
  <property fmtid="{D5CDD505-2E9C-101B-9397-08002B2CF9AE}" pid="13" name="FSC#SKEDITIONSLOVLEX@103.510:dalsipredkladatel">
    <vt:lpwstr/>
  </property>
  <property fmtid="{D5CDD505-2E9C-101B-9397-08002B2CF9AE}" pid="14" name="FSC#SKEDITIONSLOVLEX@103.510:nazovpredpis">
    <vt:lpwstr>Návrh zmien a doplnení Jednotnej metodiky na posudzovanie vybraných vplyvov</vt:lpwstr>
  </property>
  <property fmtid="{D5CDD505-2E9C-101B-9397-08002B2CF9AE}" pid="15" name="FSC#SKEDITIONSLOVLEX@103.510:nazovpredpis1">
    <vt:lpwstr/>
  </property>
  <property fmtid="{D5CDD505-2E9C-101B-9397-08002B2CF9AE}" pid="16" name="FSC#SKEDITIONSLOVLEX@103.510:nazovpredpis2">
    <vt:lpwstr/>
  </property>
  <property fmtid="{D5CDD505-2E9C-101B-9397-08002B2CF9AE}" pid="17" name="FSC#SKEDITIONSLOVLEX@103.510:nazovpredpis3">
    <vt:lpwstr/>
  </property>
  <property fmtid="{D5CDD505-2E9C-101B-9397-08002B2CF9AE}" pid="18" name="FSC#SKEDITIONSLOVLEX@103.510:cislopredpis">
    <vt:lpwstr/>
  </property>
  <property fmtid="{D5CDD505-2E9C-101B-9397-08002B2CF9AE}" pid="19" name="FSC#SKEDITIONSLOVLEX@103.510:zodpinstitucia">
    <vt:lpwstr>Ministerstvo hospodárstva Slovenskej republiky</vt:lpwstr>
  </property>
  <property fmtid="{D5CDD505-2E9C-101B-9397-08002B2CF9AE}" pid="20" name="FSC#SKEDITIONSLOVLEX@103.510:pripomienkovatelia">
    <vt:lpwstr/>
  </property>
  <property fmtid="{D5CDD505-2E9C-101B-9397-08002B2CF9AE}" pid="21" name="FSC#SKEDITIONSLOVLEX@103.510:autorpredpis">
    <vt:lpwstr/>
  </property>
  <property fmtid="{D5CDD505-2E9C-101B-9397-08002B2CF9AE}" pid="22" name="FSC#SKEDITIONSLOVLEX@103.510:podnetpredpis">
    <vt:lpwstr>Komponent č. 14 Plánu obnovy a odolnosti SR</vt:lpwstr>
  </property>
  <property fmtid="{D5CDD505-2E9C-101B-9397-08002B2CF9AE}" pid="23" name="FSC#SKEDITIONSLOVLEX@103.510:plnynazovpredpis">
    <vt:lpwstr>Návrh zmien a doplnení Jednotnej metodiky na posudzovanie vybraných vplyvov</vt:lpwstr>
  </property>
  <property fmtid="{D5CDD505-2E9C-101B-9397-08002B2CF9AE}" pid="24" name="FSC#SKEDITIONSLOVLEX@103.510:plnynazovpredpis1">
    <vt:lpwstr/>
  </property>
  <property fmtid="{D5CDD505-2E9C-101B-9397-08002B2CF9AE}" pid="25" name="FSC#SKEDITIONSLOVLEX@103.510:plnynazovpredpis2">
    <vt:lpwstr/>
  </property>
  <property fmtid="{D5CDD505-2E9C-101B-9397-08002B2CF9AE}" pid="26" name="FSC#SKEDITIONSLOVLEX@103.510:plnynazovpredpis3">
    <vt:lpwstr/>
  </property>
  <property fmtid="{D5CDD505-2E9C-101B-9397-08002B2CF9AE}" pid="27" name="FSC#SKEDITIONSLOVLEX@103.510:rezortcislopredpis">
    <vt:lpwstr>44877/2022-3213-103108</vt:lpwstr>
  </property>
  <property fmtid="{D5CDD505-2E9C-101B-9397-08002B2CF9AE}" pid="28" name="FSC#SKEDITIONSLOVLEX@103.510:citaciapredpis">
    <vt:lpwstr/>
  </property>
  <property fmtid="{D5CDD505-2E9C-101B-9397-08002B2CF9AE}" pid="29" name="FSC#SKEDITIONSLOVLEX@103.510:spiscislouv">
    <vt:lpwstr/>
  </property>
  <property fmtid="{D5CDD505-2E9C-101B-9397-08002B2CF9AE}" pid="30" name="FSC#SKEDITIONSLOVLEX@103.510:datumschvalpredpis">
    <vt:lpwstr/>
  </property>
  <property fmtid="{D5CDD505-2E9C-101B-9397-08002B2CF9AE}" pid="31" name="FSC#SKEDITIONSLOVLEX@103.510:platneod">
    <vt:lpwstr/>
  </property>
  <property fmtid="{D5CDD505-2E9C-101B-9397-08002B2CF9AE}" pid="32" name="FSC#SKEDITIONSLOVLEX@103.510:platnedo">
    <vt:lpwstr/>
  </property>
  <property fmtid="{D5CDD505-2E9C-101B-9397-08002B2CF9AE}" pid="33" name="FSC#SKEDITIONSLOVLEX@103.510:ucinnostod">
    <vt:lpwstr/>
  </property>
  <property fmtid="{D5CDD505-2E9C-101B-9397-08002B2CF9AE}" pid="34" name="FSC#SKEDITIONSLOVLEX@103.510:ucinnostdo">
    <vt:lpwstr/>
  </property>
  <property fmtid="{D5CDD505-2E9C-101B-9397-08002B2CF9AE}" pid="35" name="FSC#SKEDITIONSLOVLEX@103.510:datumplatnosti">
    <vt:lpwstr/>
  </property>
  <property fmtid="{D5CDD505-2E9C-101B-9397-08002B2CF9AE}" pid="36" name="FSC#SKEDITIONSLOVLEX@103.510:cislolp">
    <vt:lpwstr>LP/2022/744</vt:lpwstr>
  </property>
  <property fmtid="{D5CDD505-2E9C-101B-9397-08002B2CF9AE}" pid="37" name="FSC#SKEDITIONSLOVLEX@103.510:typsprievdok">
    <vt:lpwstr>Vlastný materiál - neštruktúrovaný</vt:lpwstr>
  </property>
  <property fmtid="{D5CDD505-2E9C-101B-9397-08002B2CF9AE}" pid="38" name="FSC#SKEDITIONSLOVLEX@103.510:cislopartlac">
    <vt:lpwstr/>
  </property>
  <property fmtid="{D5CDD505-2E9C-101B-9397-08002B2CF9AE}" pid="39" name="FSC#SKEDITIONSLOVLEX@103.510:AttrStrListDocPropUcelPredmetZmluvy">
    <vt:lpwstr/>
  </property>
  <property fmtid="{D5CDD505-2E9C-101B-9397-08002B2CF9AE}" pid="40" name="FSC#SKEDITIONSLOVLEX@103.510:AttrStrListDocPropUpravaPravFOPRO">
    <vt:lpwstr/>
  </property>
  <property fmtid="{D5CDD505-2E9C-101B-9397-08002B2CF9AE}" pid="41" name="FSC#SKEDITIONSLOVLEX@103.510:AttrStrListDocPropUpravaPredmetuZmluvy">
    <vt:lpwstr/>
  </property>
  <property fmtid="{D5CDD505-2E9C-101B-9397-08002B2CF9AE}" pid="42" name="FSC#SKEDITIONSLOVLEX@103.510:AttrStrListDocPropKategoriaZmluvy74">
    <vt:lpwstr/>
  </property>
  <property fmtid="{D5CDD505-2E9C-101B-9397-08002B2CF9AE}" pid="43" name="FSC#SKEDITIONSLOVLEX@103.510:AttrStrListDocPropKategoriaZmluvy75">
    <vt:lpwstr/>
  </property>
  <property fmtid="{D5CDD505-2E9C-101B-9397-08002B2CF9AE}" pid="44" name="FSC#SKEDITIONSLOVLEX@103.510:AttrStrListDocPropDopadyPrijatiaZmluvy">
    <vt:lpwstr/>
  </property>
  <property fmtid="{D5CDD505-2E9C-101B-9397-08002B2CF9AE}" pid="45" name="FSC#SKEDITIONSLOVLEX@103.510:AttrStrListDocPropProblematikaPPa">
    <vt:lpwstr/>
  </property>
  <property fmtid="{D5CDD505-2E9C-101B-9397-08002B2CF9AE}" pid="46" name="FSC#SKEDITIONSLOVLEX@103.510:AttrStrListDocPropPrimarnePravoEU">
    <vt:lpwstr/>
  </property>
  <property fmtid="{D5CDD505-2E9C-101B-9397-08002B2CF9AE}" pid="47" name="FSC#SKEDITIONSLOVLEX@103.510:AttrStrListDocPropSekundarneLegPravoPO">
    <vt:lpwstr/>
  </property>
  <property fmtid="{D5CDD505-2E9C-101B-9397-08002B2CF9AE}" pid="48" name="FSC#SKEDITIONSLOVLEX@103.510:AttrStrListDocPropSekundarneNelegPravoPO">
    <vt:lpwstr/>
  </property>
  <property fmtid="{D5CDD505-2E9C-101B-9397-08002B2CF9AE}" pid="49" name="FSC#SKEDITIONSLOVLEX@103.510:AttrStrListDocPropSekundarneLegPravoDO">
    <vt:lpwstr/>
  </property>
  <property fmtid="{D5CDD505-2E9C-101B-9397-08002B2CF9AE}" pid="50" name="FSC#SKEDITIONSLOVLEX@103.510:AttrStrListDocPropProblematikaPPb">
    <vt:lpwstr/>
  </property>
  <property fmtid="{D5CDD505-2E9C-101B-9397-08002B2CF9AE}" pid="51" name="FSC#SKEDITIONSLOVLEX@103.510:AttrStrListDocPropNazovPredpisuEU">
    <vt:lpwstr/>
  </property>
  <property fmtid="{D5CDD505-2E9C-101B-9397-08002B2CF9AE}" pid="52" name="FSC#SKEDITIONSLOVLEX@103.510:AttrStrListDocPropLehotaPrebratieSmernice">
    <vt:lpwstr/>
  </property>
  <property fmtid="{D5CDD505-2E9C-101B-9397-08002B2CF9AE}" pid="53" name="FSC#SKEDITIONSLOVLEX@103.510:AttrStrListDocPropLehotaNaPredlozenie">
    <vt:lpwstr/>
  </property>
  <property fmtid="{D5CDD505-2E9C-101B-9397-08002B2CF9AE}" pid="54" name="FSC#SKEDITIONSLOVLEX@103.510:AttrStrListDocPropInfoZaciatokKonania">
    <vt:lpwstr/>
  </property>
  <property fmtid="{D5CDD505-2E9C-101B-9397-08002B2CF9AE}" pid="55" name="FSC#SKEDITIONSLOVLEX@103.510:AttrStrListDocPropInfoUzPreberanePP">
    <vt:lpwstr/>
  </property>
  <property fmtid="{D5CDD505-2E9C-101B-9397-08002B2CF9AE}" pid="56" name="FSC#SKEDITIONSLOVLEX@103.510:AttrStrListDocPropStupenZlucitelnostiPP">
    <vt:lpwstr/>
  </property>
  <property fmtid="{D5CDD505-2E9C-101B-9397-08002B2CF9AE}" pid="57" name="FSC#SKEDITIONSLOVLEX@103.510:AttrStrListDocPropGestorSpolupRezorty">
    <vt:lpwstr/>
  </property>
  <property fmtid="{D5CDD505-2E9C-101B-9397-08002B2CF9AE}" pid="58" name="FSC#SKEDITIONSLOVLEX@103.510:AttrDateDocPropZaciatokPKK">
    <vt:lpwstr/>
  </property>
  <property fmtid="{D5CDD505-2E9C-101B-9397-08002B2CF9AE}" pid="59" name="FSC#SKEDITIONSLOVLEX@103.510:AttrDateDocPropUkonceniePKK">
    <vt:lpwstr/>
  </property>
  <property fmtid="{D5CDD505-2E9C-101B-9397-08002B2CF9AE}" pid="60" name="FSC#SKEDITIONSLOVLEX@103.510:AttrStrDocPropVplyvRozpocetVS">
    <vt:lpwstr>Žiadne</vt:lpwstr>
  </property>
  <property fmtid="{D5CDD505-2E9C-101B-9397-08002B2CF9AE}" pid="61" name="FSC#SKEDITIONSLOVLEX@103.510:AttrStrDocPropVplyvPodnikatelskeProstr">
    <vt:lpwstr>Žiadne</vt:lpwstr>
  </property>
  <property fmtid="{D5CDD505-2E9C-101B-9397-08002B2CF9AE}" pid="62" name="FSC#SKEDITIONSLOVLEX@103.510:AttrStrDocPropVplyvSocialny">
    <vt:lpwstr>Žiadne</vt:lpwstr>
  </property>
  <property fmtid="{D5CDD505-2E9C-101B-9397-08002B2CF9AE}" pid="63" name="FSC#SKEDITIONSLOVLEX@103.510:AttrStrDocPropVplyvNaZivotProstr">
    <vt:lpwstr>Žiadne</vt:lpwstr>
  </property>
  <property fmtid="{D5CDD505-2E9C-101B-9397-08002B2CF9AE}" pid="64" name="FSC#SKEDITIONSLOVLEX@103.510:AttrStrDocPropVplyvNaInformatizaciu">
    <vt:lpwstr>Žiadne</vt:lpwstr>
  </property>
  <property fmtid="{D5CDD505-2E9C-101B-9397-08002B2CF9AE}" pid="65" name="FSC#SKEDITIONSLOVLEX@103.510:AttrStrListDocPropPoznamkaVplyv">
    <vt:lpwstr>&lt;p style="text-align: justify;"&gt;Samotný predkladaný materiál nemá vplyv na podnikateľské prostredie. Výrazné pozitívne vplyvy v tejto oblasti sa očakávajú po implementácii ochrany pred neopodstatneným goldplatingom.&lt;/p&gt;&lt;p style="text-align: justify;"&gt;&amp;nbs</vt:lpwstr>
  </property>
  <property fmtid="{D5CDD505-2E9C-101B-9397-08002B2CF9AE}" pid="66" name="FSC#SKEDITIONSLOVLEX@103.510:AttrStrListDocPropAltRiesenia">
    <vt:lpwstr>Nulový variant – zachovanie súčasného stavu vytvára nekontrolovaný priestor na vytváranie takej regulačnej záťaže podnikateľského prostredia, ktorá znižuje konkurencieschopnosť tuzemských podnikateľov. V prípade zachovania súčasného stavu by nebol zaveden</vt:lpwstr>
  </property>
  <property fmtid="{D5CDD505-2E9C-101B-9397-08002B2CF9AE}" pid="67" name="FSC#SKEDITIONSLOVLEX@103.510:AttrStrListDocPropStanoviskoGest">
    <vt:lpwstr/>
  </property>
  <property fmtid="{D5CDD505-2E9C-101B-9397-08002B2CF9AE}" pid="68" name="FSC#SKEDITIONSLOVLEX@103.510:AttrStrListDocPropTextKomunike">
    <vt:lpwstr/>
  </property>
  <property fmtid="{D5CDD505-2E9C-101B-9397-08002B2CF9AE}" pid="69" name="FSC#SKEDITIONSLOVLEX@103.510:AttrStrListDocPropUznesenieCastA">
    <vt:lpwstr/>
  </property>
  <property fmtid="{D5CDD505-2E9C-101B-9397-08002B2CF9AE}" pid="70" name="FSC#SKEDITIONSLOVLEX@103.510:AttrStrListDocPropUznesenieZodpovednyA1">
    <vt:lpwstr/>
  </property>
  <property fmtid="{D5CDD505-2E9C-101B-9397-08002B2CF9AE}" pid="71" name="FSC#SKEDITIONSLOVLEX@103.510:AttrStrListDocPropUznesenieTextA1">
    <vt:lpwstr/>
  </property>
  <property fmtid="{D5CDD505-2E9C-101B-9397-08002B2CF9AE}" pid="72" name="FSC#SKEDITIONSLOVLEX@103.510:AttrStrListDocPropUznesenieTerminA1">
    <vt:lpwstr/>
  </property>
  <property fmtid="{D5CDD505-2E9C-101B-9397-08002B2CF9AE}" pid="73" name="FSC#SKEDITIONSLOVLEX@103.510:AttrStrListDocPropUznesenieBODA1">
    <vt:lpwstr/>
  </property>
  <property fmtid="{D5CDD505-2E9C-101B-9397-08002B2CF9AE}" pid="74" name="FSC#SKEDITIONSLOVLEX@103.510:AttrStrListDocPropUznesenieZodpovednyA2">
    <vt:lpwstr/>
  </property>
  <property fmtid="{D5CDD505-2E9C-101B-9397-08002B2CF9AE}" pid="75" name="FSC#SKEDITIONSLOVLEX@103.510:AttrStrListDocPropUznesenieTextA2">
    <vt:lpwstr/>
  </property>
  <property fmtid="{D5CDD505-2E9C-101B-9397-08002B2CF9AE}" pid="76" name="FSC#SKEDITIONSLOVLEX@103.510:AttrStrListDocPropUznesenieTerminA2">
    <vt:lpwstr/>
  </property>
  <property fmtid="{D5CDD505-2E9C-101B-9397-08002B2CF9AE}" pid="77" name="FSC#SKEDITIONSLOVLEX@103.510:AttrStrListDocPropUznesenieBODA3">
    <vt:lpwstr/>
  </property>
  <property fmtid="{D5CDD505-2E9C-101B-9397-08002B2CF9AE}" pid="78" name="FSC#SKEDITIONSLOVLEX@103.510:AttrStrListDocPropUznesenieZodpovednyA3">
    <vt:lpwstr/>
  </property>
  <property fmtid="{D5CDD505-2E9C-101B-9397-08002B2CF9AE}" pid="79" name="FSC#SKEDITIONSLOVLEX@103.510:AttrStrListDocPropUznesenieTextA3">
    <vt:lpwstr/>
  </property>
  <property fmtid="{D5CDD505-2E9C-101B-9397-08002B2CF9AE}" pid="80" name="FSC#SKEDITIONSLOVLEX@103.510:AttrStrListDocPropUznesenieTerminA3">
    <vt:lpwstr/>
  </property>
  <property fmtid="{D5CDD505-2E9C-101B-9397-08002B2CF9AE}" pid="81" name="FSC#SKEDITIONSLOVLEX@103.510:AttrStrListDocPropUznesenieBODA4">
    <vt:lpwstr/>
  </property>
  <property fmtid="{D5CDD505-2E9C-101B-9397-08002B2CF9AE}" pid="82" name="FSC#SKEDITIONSLOVLEX@103.510:AttrStrListDocPropUznesenieZodpovednyA4">
    <vt:lpwstr/>
  </property>
  <property fmtid="{D5CDD505-2E9C-101B-9397-08002B2CF9AE}" pid="83" name="FSC#SKEDITIONSLOVLEX@103.510:AttrStrListDocPropUznesenieTextA4">
    <vt:lpwstr/>
  </property>
  <property fmtid="{D5CDD505-2E9C-101B-9397-08002B2CF9AE}" pid="84" name="FSC#SKEDITIONSLOVLEX@103.510:AttrStrListDocPropUznesenieTerminA4">
    <vt:lpwstr/>
  </property>
  <property fmtid="{D5CDD505-2E9C-101B-9397-08002B2CF9AE}" pid="85" name="FSC#SKEDITIONSLOVLEX@103.510:AttrStrListDocPropUznesenieCastB">
    <vt:lpwstr/>
  </property>
  <property fmtid="{D5CDD505-2E9C-101B-9397-08002B2CF9AE}" pid="86" name="FSC#SKEDITIONSLOVLEX@103.510:AttrStrListDocPropUznesenieBODB1">
    <vt:lpwstr/>
  </property>
  <property fmtid="{D5CDD505-2E9C-101B-9397-08002B2CF9AE}" pid="87" name="FSC#SKEDITIONSLOVLEX@103.510:AttrStrListDocPropUznesenieZodpovednyB1">
    <vt:lpwstr/>
  </property>
  <property fmtid="{D5CDD505-2E9C-101B-9397-08002B2CF9AE}" pid="88" name="FSC#SKEDITIONSLOVLEX@103.510:AttrStrListDocPropUznesenieTextB1">
    <vt:lpwstr/>
  </property>
  <property fmtid="{D5CDD505-2E9C-101B-9397-08002B2CF9AE}" pid="89" name="FSC#SKEDITIONSLOVLEX@103.510:AttrStrListDocPropUznesenieTerminB1">
    <vt:lpwstr/>
  </property>
  <property fmtid="{D5CDD505-2E9C-101B-9397-08002B2CF9AE}" pid="90" name="FSC#SKEDITIONSLOVLEX@103.510:AttrStrListDocPropUznesenieBODB2">
    <vt:lpwstr/>
  </property>
  <property fmtid="{D5CDD505-2E9C-101B-9397-08002B2CF9AE}" pid="91" name="FSC#SKEDITIONSLOVLEX@103.510:AttrStrListDocPropUznesenieZodpovednyB2">
    <vt:lpwstr/>
  </property>
  <property fmtid="{D5CDD505-2E9C-101B-9397-08002B2CF9AE}" pid="92" name="FSC#SKEDITIONSLOVLEX@103.510:AttrStrListDocPropUznesenieTextB2">
    <vt:lpwstr/>
  </property>
  <property fmtid="{D5CDD505-2E9C-101B-9397-08002B2CF9AE}" pid="93" name="FSC#SKEDITIONSLOVLEX@103.510:AttrStrListDocPropUznesenieTerminB2">
    <vt:lpwstr/>
  </property>
  <property fmtid="{D5CDD505-2E9C-101B-9397-08002B2CF9AE}" pid="94" name="FSC#SKEDITIONSLOVLEX@103.510:AttrStrListDocPropUznesenieBODB3">
    <vt:lpwstr/>
  </property>
  <property fmtid="{D5CDD505-2E9C-101B-9397-08002B2CF9AE}" pid="95" name="FSC#SKEDITIONSLOVLEX@103.510:AttrStrListDocPropUznesenieZodpovednyB3">
    <vt:lpwstr/>
  </property>
  <property fmtid="{D5CDD505-2E9C-101B-9397-08002B2CF9AE}" pid="96" name="FSC#SKEDITIONSLOVLEX@103.510:AttrStrListDocPropUznesenieTextB3">
    <vt:lpwstr/>
  </property>
  <property fmtid="{D5CDD505-2E9C-101B-9397-08002B2CF9AE}" pid="97" name="FSC#SKEDITIONSLOVLEX@103.510:AttrStrListDocPropUznesenieTerminB3">
    <vt:lpwstr/>
  </property>
  <property fmtid="{D5CDD505-2E9C-101B-9397-08002B2CF9AE}" pid="98" name="FSC#SKEDITIONSLOVLEX@103.510:AttrStrListDocPropUznesenieBODB4">
    <vt:lpwstr/>
  </property>
  <property fmtid="{D5CDD505-2E9C-101B-9397-08002B2CF9AE}" pid="99" name="FSC#SKEDITIONSLOVLEX@103.510:AttrStrListDocPropUznesenieZodpovednyB4">
    <vt:lpwstr/>
  </property>
  <property fmtid="{D5CDD505-2E9C-101B-9397-08002B2CF9AE}" pid="100" name="FSC#SKEDITIONSLOVLEX@103.510:AttrStrListDocPropUznesenieTextB4">
    <vt:lpwstr/>
  </property>
  <property fmtid="{D5CDD505-2E9C-101B-9397-08002B2CF9AE}" pid="101" name="FSC#SKEDITIONSLOVLEX@103.510:AttrStrListDocPropUznesenieTerminB4">
    <vt:lpwstr/>
  </property>
  <property fmtid="{D5CDD505-2E9C-101B-9397-08002B2CF9AE}" pid="102" name="FSC#SKEDITIONSLOVLEX@103.510:AttrStrListDocPropUznesenieCastC">
    <vt:lpwstr/>
  </property>
  <property fmtid="{D5CDD505-2E9C-101B-9397-08002B2CF9AE}" pid="103" name="FSC#SKEDITIONSLOVLEX@103.510:AttrStrListDocPropUznesenieBODC1">
    <vt:lpwstr/>
  </property>
  <property fmtid="{D5CDD505-2E9C-101B-9397-08002B2CF9AE}" pid="104" name="FSC#SKEDITIONSLOVLEX@103.510:AttrStrListDocPropUznesenieZodpovednyC1">
    <vt:lpwstr/>
  </property>
  <property fmtid="{D5CDD505-2E9C-101B-9397-08002B2CF9AE}" pid="105" name="FSC#SKEDITIONSLOVLEX@103.510:AttrStrListDocPropUznesenieTextC1">
    <vt:lpwstr/>
  </property>
  <property fmtid="{D5CDD505-2E9C-101B-9397-08002B2CF9AE}" pid="106" name="FSC#SKEDITIONSLOVLEX@103.510:AttrStrListDocPropUznesenieTerminC1">
    <vt:lpwstr/>
  </property>
  <property fmtid="{D5CDD505-2E9C-101B-9397-08002B2CF9AE}" pid="107" name="FSC#SKEDITIONSLOVLEX@103.510:AttrStrListDocPropUznesenieBODC2">
    <vt:lpwstr/>
  </property>
  <property fmtid="{D5CDD505-2E9C-101B-9397-08002B2CF9AE}" pid="108" name="FSC#SKEDITIONSLOVLEX@103.510:AttrStrListDocPropUznesenieZodpovednyC2">
    <vt:lpwstr/>
  </property>
  <property fmtid="{D5CDD505-2E9C-101B-9397-08002B2CF9AE}" pid="109" name="FSC#SKEDITIONSLOVLEX@103.510:AttrStrListDocPropUznesenieTextC2">
    <vt:lpwstr/>
  </property>
  <property fmtid="{D5CDD505-2E9C-101B-9397-08002B2CF9AE}" pid="110" name="FSC#SKEDITIONSLOVLEX@103.510:AttrStrListDocPropUznesenieTerminC2">
    <vt:lpwstr/>
  </property>
  <property fmtid="{D5CDD505-2E9C-101B-9397-08002B2CF9AE}" pid="111" name="FSC#SKEDITIONSLOVLEX@103.510:AttrStrListDocPropUznesenieBODC3">
    <vt:lpwstr/>
  </property>
  <property fmtid="{D5CDD505-2E9C-101B-9397-08002B2CF9AE}" pid="112" name="FSC#SKEDITIONSLOVLEX@103.510:AttrStrListDocPropUznesenieZodpovednyC3">
    <vt:lpwstr/>
  </property>
  <property fmtid="{D5CDD505-2E9C-101B-9397-08002B2CF9AE}" pid="113" name="FSC#SKEDITIONSLOVLEX@103.510:AttrStrListDocPropUznesenieTextC3">
    <vt:lpwstr/>
  </property>
  <property fmtid="{D5CDD505-2E9C-101B-9397-08002B2CF9AE}" pid="114" name="FSC#SKEDITIONSLOVLEX@103.510:AttrStrListDocPropUznesenieTerminC3">
    <vt:lpwstr/>
  </property>
  <property fmtid="{D5CDD505-2E9C-101B-9397-08002B2CF9AE}" pid="115" name="FSC#SKEDITIONSLOVLEX@103.510:AttrStrListDocPropUznesenieBODC4">
    <vt:lpwstr/>
  </property>
  <property fmtid="{D5CDD505-2E9C-101B-9397-08002B2CF9AE}" pid="116" name="FSC#SKEDITIONSLOVLEX@103.510:AttrStrListDocPropUznesenieZodpovednyC4">
    <vt:lpwstr/>
  </property>
  <property fmtid="{D5CDD505-2E9C-101B-9397-08002B2CF9AE}" pid="117" name="FSC#SKEDITIONSLOVLEX@103.510:AttrStrListDocPropUznesenieTextC4">
    <vt:lpwstr/>
  </property>
  <property fmtid="{D5CDD505-2E9C-101B-9397-08002B2CF9AE}" pid="118" name="FSC#SKEDITIONSLOVLEX@103.510:AttrStrListDocPropUznesenieTerminC4">
    <vt:lpwstr/>
  </property>
  <property fmtid="{D5CDD505-2E9C-101B-9397-08002B2CF9AE}" pid="119" name="FSC#SKEDITIONSLOVLEX@103.510:AttrStrListDocPropUznesenieCastD">
    <vt:lpwstr/>
  </property>
  <property fmtid="{D5CDD505-2E9C-101B-9397-08002B2CF9AE}" pid="120" name="FSC#SKEDITIONSLOVLEX@103.510:AttrStrListDocPropUznesenieBODD1">
    <vt:lpwstr/>
  </property>
  <property fmtid="{D5CDD505-2E9C-101B-9397-08002B2CF9AE}" pid="121" name="FSC#SKEDITIONSLOVLEX@103.510:AttrStrListDocPropUznesenieZodpovednyD1">
    <vt:lpwstr/>
  </property>
  <property fmtid="{D5CDD505-2E9C-101B-9397-08002B2CF9AE}" pid="122" name="FSC#SKEDITIONSLOVLEX@103.510:AttrStrListDocPropUznesenieTextD1">
    <vt:lpwstr/>
  </property>
  <property fmtid="{D5CDD505-2E9C-101B-9397-08002B2CF9AE}" pid="123" name="FSC#SKEDITIONSLOVLEX@103.510:AttrStrListDocPropUznesenieTerminD1">
    <vt:lpwstr/>
  </property>
  <property fmtid="{D5CDD505-2E9C-101B-9397-08002B2CF9AE}" pid="124" name="FSC#SKEDITIONSLOVLEX@103.510:AttrStrListDocPropUznesenieBODD2">
    <vt:lpwstr/>
  </property>
  <property fmtid="{D5CDD505-2E9C-101B-9397-08002B2CF9AE}" pid="125" name="FSC#SKEDITIONSLOVLEX@103.510:AttrStrListDocPropUznesenieZodpovednyD2">
    <vt:lpwstr/>
  </property>
  <property fmtid="{D5CDD505-2E9C-101B-9397-08002B2CF9AE}" pid="126" name="FSC#SKEDITIONSLOVLEX@103.510:AttrStrListDocPropUznesenieTextD2">
    <vt:lpwstr/>
  </property>
  <property fmtid="{D5CDD505-2E9C-101B-9397-08002B2CF9AE}" pid="127" name="FSC#SKEDITIONSLOVLEX@103.510:AttrStrListDocPropUznesenieTerminD2">
    <vt:lpwstr/>
  </property>
  <property fmtid="{D5CDD505-2E9C-101B-9397-08002B2CF9AE}" pid="128" name="FSC#SKEDITIONSLOVLEX@103.510:AttrStrListDocPropUznesenieBODD3">
    <vt:lpwstr/>
  </property>
  <property fmtid="{D5CDD505-2E9C-101B-9397-08002B2CF9AE}" pid="129" name="FSC#SKEDITIONSLOVLEX@103.510:AttrStrListDocPropUznesenieZodpovednyD3">
    <vt:lpwstr/>
  </property>
  <property fmtid="{D5CDD505-2E9C-101B-9397-08002B2CF9AE}" pid="130" name="FSC#SKEDITIONSLOVLEX@103.510:AttrStrListDocPropUznesenieTextD3">
    <vt:lpwstr/>
  </property>
  <property fmtid="{D5CDD505-2E9C-101B-9397-08002B2CF9AE}" pid="131" name="FSC#SKEDITIONSLOVLEX@103.510:AttrStrListDocPropUznesenieTerminD3">
    <vt:lpwstr/>
  </property>
  <property fmtid="{D5CDD505-2E9C-101B-9397-08002B2CF9AE}" pid="132" name="FSC#SKEDITIONSLOVLEX@103.510:AttrStrListDocPropUznesenieBODD4">
    <vt:lpwstr/>
  </property>
  <property fmtid="{D5CDD505-2E9C-101B-9397-08002B2CF9AE}" pid="133" name="FSC#SKEDITIONSLOVLEX@103.510:AttrStrListDocPropUznesenieZodpovednyD4">
    <vt:lpwstr/>
  </property>
  <property fmtid="{D5CDD505-2E9C-101B-9397-08002B2CF9AE}" pid="134" name="FSC#SKEDITIONSLOVLEX@103.510:AttrStrListDocPropUznesenieTextD4">
    <vt:lpwstr/>
  </property>
  <property fmtid="{D5CDD505-2E9C-101B-9397-08002B2CF9AE}" pid="135" name="FSC#SKEDITIONSLOVLEX@103.510:AttrStrListDocPropUznesenieTerminD4">
    <vt:lpwstr/>
  </property>
  <property fmtid="{D5CDD505-2E9C-101B-9397-08002B2CF9AE}" pid="136" name="FSC#SKEDITIONSLOVLEX@103.510:AttrStrListDocPropUznesenieVykonaju">
    <vt:lpwstr>minister hospodárstva_x000d_
členovia vlády_x000d_
predsedovia ostatných ústredných orgánov štátnej správy</vt:lpwstr>
  </property>
  <property fmtid="{D5CDD505-2E9C-101B-9397-08002B2CF9AE}" pid="137" name="FSC#SKEDITIONSLOVLEX@103.510:AttrStrListDocPropUznesenieNaVedomie">
    <vt:lpwstr/>
  </property>
  <property fmtid="{D5CDD505-2E9C-101B-9397-08002B2CF9AE}" pid="138" name="FSC#SKEDITIONSLOVLEX@103.510:funkciaPred">
    <vt:lpwstr/>
  </property>
  <property fmtid="{D5CDD505-2E9C-101B-9397-08002B2CF9AE}" pid="139" name="FSC#SKEDITIONSLOVLEX@103.510:funkciaPredAkuzativ">
    <vt:lpwstr/>
  </property>
  <property fmtid="{D5CDD505-2E9C-101B-9397-08002B2CF9AE}" pid="140" name="FSC#SKEDITIONSLOVLEX@103.510:funkciaPredDativ">
    <vt:lpwstr/>
  </property>
  <property fmtid="{D5CDD505-2E9C-101B-9397-08002B2CF9AE}" pid="141" name="FSC#SKEDITIONSLOVLEX@103.510:funkciaZodpPred">
    <vt:lpwstr/>
  </property>
  <property fmtid="{D5CDD505-2E9C-101B-9397-08002B2CF9AE}" pid="142" name="FSC#SKEDITIONSLOVLEX@103.510:funkciaZodpPredAkuzativ">
    <vt:lpwstr/>
  </property>
  <property fmtid="{D5CDD505-2E9C-101B-9397-08002B2CF9AE}" pid="143" name="FSC#SKEDITIONSLOVLEX@103.510:funkciaZodpPredDativ">
    <vt:lpwstr/>
  </property>
  <property fmtid="{D5CDD505-2E9C-101B-9397-08002B2CF9AE}" pid="144" name="FSC#SKEDITIONSLOVLEX@103.510:funkciaDalsiPred">
    <vt:lpwstr/>
  </property>
  <property fmtid="{D5CDD505-2E9C-101B-9397-08002B2CF9AE}" pid="145" name="FSC#SKEDITIONSLOVLEX@103.510:funkciaDalsiPredAkuzativ">
    <vt:lpwstr/>
  </property>
  <property fmtid="{D5CDD505-2E9C-101B-9397-08002B2CF9AE}" pid="146" name="FSC#SKEDITIONSLOVLEX@103.510:funkciaDalsiPredDativ">
    <vt:lpwstr/>
  </property>
  <property fmtid="{D5CDD505-2E9C-101B-9397-08002B2CF9AE}" pid="147" name="FSC#SKEDITIONSLOVLEX@103.510:predkladateliaObalSD">
    <vt:lpwstr>Ing. Karel Hirman</vt:lpwstr>
  </property>
  <property fmtid="{D5CDD505-2E9C-101B-9397-08002B2CF9AE}" pid="148" name="FSC#SKEDITIONSLOVLEX@103.510:AttrStrListDocPropTextVseobPrilohy">
    <vt:lpwstr/>
  </property>
  <property fmtid="{D5CDD505-2E9C-101B-9397-08002B2CF9AE}" pid="149" name="FSC#SKEDITIONSLOVLEX@103.510:AttrStrListDocPropTextPredklSpravy">
    <vt:lpwstr>&lt;p style="text-align: justify;"&gt;Návrh zmien a doplnení Jednotnej metodiky na posudzovanie vybraných vplyvov predkladá na rokovanie vlády Slovenskej republiky Ministerstvo hospodárstva Slovenskej republiky (ďalej len „MH SR“) v nadväznosti na Komponent č.</vt:lpwstr>
  </property>
  <property fmtid="{D5CDD505-2E9C-101B-9397-08002B2CF9AE}" pid="150" name="FSC#SKEDITIONSLOVLEX@103.510:vytvorenedna">
    <vt:lpwstr>10. 11. 2022</vt:lpwstr>
  </property>
  <property fmtid="{D5CDD505-2E9C-101B-9397-08002B2CF9AE}" pid="151" name="FSC#COOSYSTEM@1.1:Container">
    <vt:lpwstr>COO.2145.1000.3.5328105</vt:lpwstr>
  </property>
  <property fmtid="{D5CDD505-2E9C-101B-9397-08002B2CF9AE}" pid="152" name="FSC#FSCFOLIO@1.1001:docpropproject">
    <vt:lpwstr/>
  </property>
</Properties>
</file>